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860"/>
        <w:gridCol w:w="2700"/>
      </w:tblGrid>
      <w:tr w:rsidR="005D0467" w14:paraId="1354D1B2" w14:textId="77777777">
        <w:trPr>
          <w:cantSplit/>
          <w:trHeight w:val="1250"/>
        </w:trPr>
        <w:tc>
          <w:tcPr>
            <w:tcW w:w="2520" w:type="dxa"/>
            <w:vMerge w:val="restart"/>
          </w:tcPr>
          <w:p w14:paraId="2FC85178" w14:textId="77777777" w:rsidR="005D0467" w:rsidRDefault="005D0467">
            <w:pPr>
              <w:pStyle w:val="Header"/>
            </w:pPr>
          </w:p>
          <w:p w14:paraId="32EA2C68" w14:textId="77777777" w:rsidR="005D0467" w:rsidRDefault="005D0467">
            <w:pPr>
              <w:pStyle w:val="Header"/>
            </w:pPr>
          </w:p>
          <w:p w14:paraId="5CB65404" w14:textId="77777777" w:rsidR="005D0467" w:rsidRDefault="005D0467">
            <w:pPr>
              <w:pStyle w:val="Header"/>
            </w:pPr>
          </w:p>
          <w:p w14:paraId="59C20D2C" w14:textId="77777777" w:rsidR="005D0467" w:rsidRDefault="005D0467">
            <w:pPr>
              <w:pStyle w:val="Header"/>
            </w:pPr>
          </w:p>
          <w:p w14:paraId="04802429" w14:textId="11424C23" w:rsidR="005D0467" w:rsidRDefault="007235B1">
            <w:pPr>
              <w:pStyle w:val="Header"/>
              <w:jc w:val="center"/>
            </w:pPr>
            <w:r>
              <w:rPr>
                <w:noProof/>
                <w:sz w:val="20"/>
              </w:rPr>
              <w:drawing>
                <wp:anchor distT="0" distB="0" distL="114300" distR="114300" simplePos="0" relativeHeight="251657728" behindDoc="1" locked="0" layoutInCell="1" allowOverlap="1" wp14:anchorId="4149716F" wp14:editId="7E86B7B3">
                  <wp:simplePos x="0" y="0"/>
                  <wp:positionH relativeFrom="column">
                    <wp:posOffset>249555</wp:posOffset>
                  </wp:positionH>
                  <wp:positionV relativeFrom="paragraph">
                    <wp:posOffset>123190</wp:posOffset>
                  </wp:positionV>
                  <wp:extent cx="941705" cy="1021080"/>
                  <wp:effectExtent l="0" t="0" r="0" b="0"/>
                  <wp:wrapTight wrapText="bothSides">
                    <wp:wrapPolygon edited="0">
                      <wp:start x="0" y="0"/>
                      <wp:lineTo x="0" y="21358"/>
                      <wp:lineTo x="20974" y="21358"/>
                      <wp:lineTo x="209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705" cy="1021080"/>
                          </a:xfrm>
                          <a:prstGeom prst="rect">
                            <a:avLst/>
                          </a:prstGeom>
                          <a:noFill/>
                        </pic:spPr>
                      </pic:pic>
                    </a:graphicData>
                  </a:graphic>
                  <wp14:sizeRelH relativeFrom="page">
                    <wp14:pctWidth>0</wp14:pctWidth>
                  </wp14:sizeRelH>
                  <wp14:sizeRelV relativeFrom="page">
                    <wp14:pctHeight>0</wp14:pctHeight>
                  </wp14:sizeRelV>
                </wp:anchor>
              </w:drawing>
            </w:r>
          </w:p>
          <w:p w14:paraId="42F7DDD6" w14:textId="77777777" w:rsidR="005D0467" w:rsidRDefault="005D0467">
            <w:pPr>
              <w:pStyle w:val="Header"/>
            </w:pPr>
          </w:p>
          <w:p w14:paraId="3A062346" w14:textId="77777777" w:rsidR="005D0467" w:rsidRDefault="005D0467">
            <w:pPr>
              <w:pStyle w:val="Header"/>
              <w:jc w:val="center"/>
            </w:pPr>
          </w:p>
          <w:p w14:paraId="188407AE" w14:textId="77777777" w:rsidR="005D0467" w:rsidRDefault="005D0467">
            <w:pPr>
              <w:pStyle w:val="Header"/>
              <w:jc w:val="center"/>
            </w:pPr>
          </w:p>
          <w:p w14:paraId="1C274A1F" w14:textId="77777777" w:rsidR="005D0467" w:rsidRDefault="005D0467">
            <w:pPr>
              <w:pStyle w:val="Header"/>
              <w:jc w:val="center"/>
            </w:pPr>
          </w:p>
          <w:p w14:paraId="2A534BAC" w14:textId="77777777" w:rsidR="005D0467" w:rsidRDefault="005D0467">
            <w:pPr>
              <w:pStyle w:val="Header"/>
              <w:jc w:val="center"/>
            </w:pPr>
          </w:p>
        </w:tc>
        <w:tc>
          <w:tcPr>
            <w:tcW w:w="4860" w:type="dxa"/>
            <w:vMerge w:val="restart"/>
          </w:tcPr>
          <w:p w14:paraId="588AD91A" w14:textId="77777777" w:rsidR="005D0467" w:rsidRDefault="005D0467">
            <w:pPr>
              <w:pStyle w:val="Header"/>
              <w:jc w:val="center"/>
              <w:rPr>
                <w:b/>
              </w:rPr>
            </w:pPr>
          </w:p>
          <w:p w14:paraId="61B7AF8E" w14:textId="77777777" w:rsidR="005D0467" w:rsidRDefault="005D0467">
            <w:pPr>
              <w:pStyle w:val="Header"/>
              <w:jc w:val="center"/>
              <w:rPr>
                <w:b/>
                <w:sz w:val="32"/>
              </w:rPr>
            </w:pPr>
            <w:r>
              <w:rPr>
                <w:b/>
                <w:sz w:val="32"/>
              </w:rPr>
              <w:t>Department of Administration</w:t>
            </w:r>
          </w:p>
          <w:p w14:paraId="5ED6D71D" w14:textId="77777777" w:rsidR="005D0467" w:rsidRDefault="005D0467">
            <w:pPr>
              <w:pStyle w:val="Header"/>
              <w:rPr>
                <w:b/>
                <w:sz w:val="20"/>
              </w:rPr>
            </w:pPr>
          </w:p>
          <w:p w14:paraId="73076F64" w14:textId="77777777" w:rsidR="005D0467" w:rsidRDefault="005D0467">
            <w:pPr>
              <w:pStyle w:val="Header"/>
              <w:jc w:val="center"/>
              <w:rPr>
                <w:b/>
                <w:sz w:val="36"/>
              </w:rPr>
            </w:pPr>
            <w:r>
              <w:rPr>
                <w:b/>
                <w:sz w:val="36"/>
              </w:rPr>
              <w:t xml:space="preserve">State of </w:t>
            </w:r>
            <w:smartTag w:uri="urn:schemas-microsoft-com:office:smarttags" w:element="State">
              <w:smartTag w:uri="urn:schemas-microsoft-com:office:smarttags" w:element="place">
                <w:r>
                  <w:rPr>
                    <w:b/>
                    <w:sz w:val="36"/>
                  </w:rPr>
                  <w:t>Montana</w:t>
                </w:r>
              </w:smartTag>
            </w:smartTag>
            <w:r>
              <w:rPr>
                <w:b/>
                <w:sz w:val="36"/>
              </w:rPr>
              <w:t xml:space="preserve"> </w:t>
            </w:r>
          </w:p>
          <w:p w14:paraId="7F4932D4" w14:textId="77777777" w:rsidR="005D0467" w:rsidRDefault="005D0467">
            <w:pPr>
              <w:pStyle w:val="Header"/>
              <w:rPr>
                <w:b/>
                <w:sz w:val="20"/>
              </w:rPr>
            </w:pPr>
          </w:p>
          <w:p w14:paraId="362FF79C" w14:textId="77777777" w:rsidR="005D0467" w:rsidRDefault="005D0467">
            <w:pPr>
              <w:pStyle w:val="Header"/>
              <w:jc w:val="center"/>
              <w:rPr>
                <w:b/>
              </w:rPr>
            </w:pPr>
            <w:r>
              <w:rPr>
                <w:b/>
              </w:rPr>
              <w:t>Issued by:  The Risk Management</w:t>
            </w:r>
          </w:p>
          <w:p w14:paraId="693AFA9B" w14:textId="77777777" w:rsidR="005D0467" w:rsidRDefault="005D0467">
            <w:pPr>
              <w:pStyle w:val="Header"/>
              <w:jc w:val="center"/>
              <w:rPr>
                <w:b/>
              </w:rPr>
            </w:pPr>
            <w:r>
              <w:rPr>
                <w:b/>
              </w:rPr>
              <w:t xml:space="preserve">&amp; </w:t>
            </w:r>
          </w:p>
          <w:p w14:paraId="16ACEB78" w14:textId="77777777" w:rsidR="005D0467" w:rsidRDefault="005D0467">
            <w:pPr>
              <w:pStyle w:val="Header"/>
              <w:jc w:val="center"/>
              <w:rPr>
                <w:b/>
              </w:rPr>
            </w:pPr>
            <w:r>
              <w:rPr>
                <w:b/>
              </w:rPr>
              <w:t>Tort Defense Division</w:t>
            </w:r>
          </w:p>
          <w:p w14:paraId="02D2284C" w14:textId="77777777" w:rsidR="005D0467" w:rsidRDefault="005D0467">
            <w:pPr>
              <w:pStyle w:val="Header"/>
              <w:rPr>
                <w:b/>
                <w:sz w:val="20"/>
              </w:rPr>
            </w:pPr>
          </w:p>
          <w:p w14:paraId="5360ACF2" w14:textId="77777777" w:rsidR="005D0467" w:rsidRDefault="005D0467">
            <w:pPr>
              <w:pStyle w:val="Header"/>
              <w:rPr>
                <w:b/>
                <w:sz w:val="28"/>
              </w:rPr>
            </w:pPr>
            <w:r>
              <w:rPr>
                <w:b/>
                <w:sz w:val="28"/>
              </w:rPr>
              <w:t>Subject: Crime</w:t>
            </w:r>
            <w:r w:rsidR="00AA4521">
              <w:rPr>
                <w:b/>
                <w:sz w:val="28"/>
              </w:rPr>
              <w:t>/</w:t>
            </w:r>
            <w:r w:rsidR="00E719F9">
              <w:rPr>
                <w:b/>
                <w:sz w:val="28"/>
              </w:rPr>
              <w:t xml:space="preserve">Fidelity </w:t>
            </w:r>
            <w:r>
              <w:rPr>
                <w:b/>
                <w:sz w:val="28"/>
              </w:rPr>
              <w:t xml:space="preserve">Insurance </w:t>
            </w:r>
          </w:p>
          <w:p w14:paraId="3ED7A8BE" w14:textId="77777777" w:rsidR="00E719F9" w:rsidRDefault="00E719F9">
            <w:pPr>
              <w:pStyle w:val="Header"/>
              <w:rPr>
                <w:b/>
                <w:sz w:val="28"/>
              </w:rPr>
            </w:pPr>
          </w:p>
          <w:p w14:paraId="72714FEC" w14:textId="77777777" w:rsidR="005D0467" w:rsidRDefault="00441CA4">
            <w:pPr>
              <w:pStyle w:val="Header"/>
              <w:rPr>
                <w:sz w:val="28"/>
              </w:rPr>
            </w:pPr>
            <w:r>
              <w:rPr>
                <w:sz w:val="28"/>
              </w:rPr>
              <w:t>The state’s</w:t>
            </w:r>
            <w:r w:rsidR="005D0467">
              <w:rPr>
                <w:sz w:val="28"/>
              </w:rPr>
              <w:t xml:space="preserve"> crime </w:t>
            </w:r>
            <w:r w:rsidR="00E719F9">
              <w:rPr>
                <w:sz w:val="28"/>
              </w:rPr>
              <w:t xml:space="preserve">and fidelity </w:t>
            </w:r>
            <w:r w:rsidR="005D0467">
              <w:rPr>
                <w:sz w:val="28"/>
              </w:rPr>
              <w:t>insurance coverage and program requirements.</w:t>
            </w:r>
          </w:p>
          <w:p w14:paraId="0013F4D8" w14:textId="77777777" w:rsidR="005D0467" w:rsidRDefault="005D0467">
            <w:pPr>
              <w:pStyle w:val="Header"/>
              <w:rPr>
                <w:b/>
                <w:sz w:val="20"/>
              </w:rPr>
            </w:pPr>
            <w:r>
              <w:rPr>
                <w:b/>
                <w:sz w:val="20"/>
              </w:rPr>
              <w:t xml:space="preserve"> </w:t>
            </w:r>
          </w:p>
        </w:tc>
        <w:tc>
          <w:tcPr>
            <w:tcW w:w="2700" w:type="dxa"/>
          </w:tcPr>
          <w:p w14:paraId="18A4A95C" w14:textId="77777777" w:rsidR="005D0467" w:rsidRDefault="005D0467">
            <w:pPr>
              <w:pStyle w:val="Header"/>
            </w:pPr>
          </w:p>
          <w:p w14:paraId="0001EC51" w14:textId="77777777" w:rsidR="005D0467" w:rsidRDefault="005D0467">
            <w:pPr>
              <w:pStyle w:val="Header"/>
              <w:rPr>
                <w:b/>
                <w:sz w:val="20"/>
              </w:rPr>
            </w:pPr>
          </w:p>
          <w:p w14:paraId="64D3A1E7" w14:textId="77777777" w:rsidR="005D0467" w:rsidRDefault="005D0467">
            <w:pPr>
              <w:pStyle w:val="Header"/>
              <w:rPr>
                <w:b/>
                <w:sz w:val="20"/>
              </w:rPr>
            </w:pPr>
            <w:r>
              <w:rPr>
                <w:b/>
                <w:sz w:val="20"/>
              </w:rPr>
              <w:t>Number:  RMTDINS0</w:t>
            </w:r>
            <w:r w:rsidR="00165B74">
              <w:rPr>
                <w:b/>
                <w:sz w:val="20"/>
              </w:rPr>
              <w:t>8</w:t>
            </w:r>
            <w:r>
              <w:rPr>
                <w:b/>
                <w:sz w:val="20"/>
              </w:rPr>
              <w:t>05</w:t>
            </w:r>
          </w:p>
          <w:p w14:paraId="25F717B2" w14:textId="77777777" w:rsidR="005D0467" w:rsidRDefault="005D0467">
            <w:pPr>
              <w:pStyle w:val="Header"/>
              <w:rPr>
                <w:sz w:val="20"/>
              </w:rPr>
            </w:pPr>
          </w:p>
        </w:tc>
      </w:tr>
      <w:tr w:rsidR="005D0467" w14:paraId="3714E23E" w14:textId="77777777">
        <w:trPr>
          <w:cantSplit/>
          <w:trHeight w:val="1250"/>
        </w:trPr>
        <w:tc>
          <w:tcPr>
            <w:tcW w:w="2520" w:type="dxa"/>
            <w:vMerge/>
          </w:tcPr>
          <w:p w14:paraId="37FD5ED3" w14:textId="77777777" w:rsidR="005D0467" w:rsidRDefault="005D0467">
            <w:pPr>
              <w:pStyle w:val="Header"/>
            </w:pPr>
          </w:p>
        </w:tc>
        <w:tc>
          <w:tcPr>
            <w:tcW w:w="4860" w:type="dxa"/>
            <w:vMerge/>
          </w:tcPr>
          <w:p w14:paraId="0E2B913C" w14:textId="77777777" w:rsidR="005D0467" w:rsidRDefault="005D0467">
            <w:pPr>
              <w:pStyle w:val="Header"/>
            </w:pPr>
          </w:p>
        </w:tc>
        <w:tc>
          <w:tcPr>
            <w:tcW w:w="2700" w:type="dxa"/>
          </w:tcPr>
          <w:p w14:paraId="386F5056" w14:textId="77777777" w:rsidR="005D0467" w:rsidRDefault="005D0467">
            <w:pPr>
              <w:pStyle w:val="Header"/>
              <w:rPr>
                <w:sz w:val="20"/>
              </w:rPr>
            </w:pPr>
          </w:p>
          <w:p w14:paraId="2169CD29" w14:textId="77777777" w:rsidR="005D0467" w:rsidRDefault="005D0467">
            <w:pPr>
              <w:pStyle w:val="Header"/>
              <w:rPr>
                <w:b/>
                <w:sz w:val="20"/>
              </w:rPr>
            </w:pPr>
            <w:r>
              <w:rPr>
                <w:b/>
                <w:sz w:val="20"/>
              </w:rPr>
              <w:t>History Log:</w:t>
            </w:r>
          </w:p>
          <w:p w14:paraId="72F0502B" w14:textId="77777777" w:rsidR="005D0467" w:rsidRDefault="005D0467">
            <w:pPr>
              <w:pStyle w:val="Header"/>
              <w:rPr>
                <w:bCs/>
                <w:sz w:val="20"/>
              </w:rPr>
            </w:pPr>
          </w:p>
          <w:p w14:paraId="08407D42" w14:textId="77777777" w:rsidR="005D0467" w:rsidRDefault="005D0467">
            <w:pPr>
              <w:pStyle w:val="Header"/>
              <w:rPr>
                <w:bCs/>
                <w:sz w:val="20"/>
              </w:rPr>
            </w:pPr>
            <w:r>
              <w:rPr>
                <w:bCs/>
                <w:sz w:val="20"/>
              </w:rPr>
              <w:t xml:space="preserve">Approval Date: </w:t>
            </w:r>
            <w:r w:rsidR="00814DF9">
              <w:rPr>
                <w:bCs/>
                <w:sz w:val="20"/>
              </w:rPr>
              <w:t xml:space="preserve"> </w:t>
            </w:r>
            <w:r w:rsidR="00D75259">
              <w:rPr>
                <w:bCs/>
                <w:sz w:val="20"/>
              </w:rPr>
              <w:t>10/01/99</w:t>
            </w:r>
          </w:p>
          <w:p w14:paraId="2D11F55D" w14:textId="77777777" w:rsidR="005D0467" w:rsidRDefault="005D0467">
            <w:pPr>
              <w:pStyle w:val="Header"/>
              <w:rPr>
                <w:bCs/>
                <w:sz w:val="20"/>
              </w:rPr>
            </w:pPr>
            <w:r>
              <w:rPr>
                <w:bCs/>
                <w:sz w:val="20"/>
              </w:rPr>
              <w:t xml:space="preserve">Effective Date: </w:t>
            </w:r>
            <w:r w:rsidR="00814DF9">
              <w:rPr>
                <w:bCs/>
                <w:sz w:val="20"/>
              </w:rPr>
              <w:t xml:space="preserve">  </w:t>
            </w:r>
            <w:r>
              <w:rPr>
                <w:bCs/>
                <w:sz w:val="20"/>
              </w:rPr>
              <w:t>07/01/0</w:t>
            </w:r>
            <w:r w:rsidR="00D75259">
              <w:rPr>
                <w:bCs/>
                <w:sz w:val="20"/>
              </w:rPr>
              <w:t>0</w:t>
            </w:r>
          </w:p>
          <w:p w14:paraId="24FEC6F4" w14:textId="7183F9E3" w:rsidR="005D0467" w:rsidRDefault="005D0467">
            <w:pPr>
              <w:pStyle w:val="Header"/>
              <w:rPr>
                <w:bCs/>
                <w:sz w:val="20"/>
              </w:rPr>
            </w:pPr>
            <w:r>
              <w:rPr>
                <w:bCs/>
                <w:sz w:val="20"/>
              </w:rPr>
              <w:t xml:space="preserve">Reviewed: </w:t>
            </w:r>
            <w:r w:rsidR="00814DF9">
              <w:rPr>
                <w:bCs/>
                <w:sz w:val="20"/>
              </w:rPr>
              <w:t xml:space="preserve">         </w:t>
            </w:r>
            <w:r w:rsidR="002458B0">
              <w:rPr>
                <w:bCs/>
                <w:sz w:val="20"/>
              </w:rPr>
              <w:t>0</w:t>
            </w:r>
            <w:r w:rsidR="000A4E9E">
              <w:rPr>
                <w:bCs/>
                <w:sz w:val="20"/>
              </w:rPr>
              <w:t>9</w:t>
            </w:r>
            <w:r w:rsidR="002458B0">
              <w:rPr>
                <w:bCs/>
                <w:sz w:val="20"/>
              </w:rPr>
              <w:t>/</w:t>
            </w:r>
            <w:r w:rsidR="006D311B">
              <w:rPr>
                <w:bCs/>
                <w:sz w:val="20"/>
              </w:rPr>
              <w:t>21</w:t>
            </w:r>
            <w:r w:rsidR="002458B0">
              <w:rPr>
                <w:bCs/>
                <w:sz w:val="20"/>
              </w:rPr>
              <w:t>/</w:t>
            </w:r>
            <w:r w:rsidR="006D311B">
              <w:rPr>
                <w:bCs/>
                <w:sz w:val="20"/>
              </w:rPr>
              <w:t>20</w:t>
            </w:r>
          </w:p>
          <w:p w14:paraId="5D235422" w14:textId="35B16AAD" w:rsidR="005D0467" w:rsidRDefault="005D0467">
            <w:pPr>
              <w:pStyle w:val="Header"/>
              <w:rPr>
                <w:bCs/>
                <w:sz w:val="20"/>
              </w:rPr>
            </w:pPr>
            <w:r>
              <w:rPr>
                <w:bCs/>
                <w:sz w:val="20"/>
              </w:rPr>
              <w:t xml:space="preserve">Last Revision:  </w:t>
            </w:r>
            <w:r w:rsidR="00D75259">
              <w:rPr>
                <w:bCs/>
                <w:sz w:val="20"/>
              </w:rPr>
              <w:t xml:space="preserve">  </w:t>
            </w:r>
            <w:r w:rsidR="00881FBC">
              <w:rPr>
                <w:bCs/>
                <w:sz w:val="20"/>
              </w:rPr>
              <w:t>10</w:t>
            </w:r>
            <w:r w:rsidR="00291AC0">
              <w:rPr>
                <w:bCs/>
                <w:sz w:val="20"/>
              </w:rPr>
              <w:t>/</w:t>
            </w:r>
            <w:r w:rsidR="00881FBC">
              <w:rPr>
                <w:bCs/>
                <w:sz w:val="20"/>
              </w:rPr>
              <w:t>13</w:t>
            </w:r>
            <w:r w:rsidR="00291AC0">
              <w:rPr>
                <w:bCs/>
                <w:sz w:val="20"/>
              </w:rPr>
              <w:t>/</w:t>
            </w:r>
            <w:r w:rsidR="006D311B">
              <w:rPr>
                <w:bCs/>
                <w:sz w:val="20"/>
              </w:rPr>
              <w:t>20</w:t>
            </w:r>
          </w:p>
          <w:p w14:paraId="2F5F7FDC" w14:textId="77777777" w:rsidR="005D0467" w:rsidRDefault="005D0467">
            <w:pPr>
              <w:pStyle w:val="Header"/>
              <w:rPr>
                <w:b/>
                <w:sz w:val="20"/>
              </w:rPr>
            </w:pPr>
            <w:r>
              <w:rPr>
                <w:bCs/>
                <w:sz w:val="20"/>
              </w:rPr>
              <w:t>Contact: Brett E. Dahl</w:t>
            </w:r>
          </w:p>
          <w:p w14:paraId="7DB8D6C9" w14:textId="77777777" w:rsidR="005D0467" w:rsidRDefault="005D0467">
            <w:pPr>
              <w:pStyle w:val="Header"/>
              <w:rPr>
                <w:b/>
                <w:sz w:val="20"/>
              </w:rPr>
            </w:pPr>
          </w:p>
        </w:tc>
      </w:tr>
      <w:tr w:rsidR="005D0467" w14:paraId="2272C2FA" w14:textId="77777777">
        <w:trPr>
          <w:cantSplit/>
          <w:trHeight w:val="791"/>
        </w:trPr>
        <w:tc>
          <w:tcPr>
            <w:tcW w:w="2520" w:type="dxa"/>
            <w:vMerge/>
          </w:tcPr>
          <w:p w14:paraId="37383CDD" w14:textId="77777777" w:rsidR="005D0467" w:rsidRDefault="005D0467">
            <w:pPr>
              <w:pStyle w:val="Header"/>
            </w:pPr>
          </w:p>
        </w:tc>
        <w:tc>
          <w:tcPr>
            <w:tcW w:w="4860" w:type="dxa"/>
            <w:vMerge/>
          </w:tcPr>
          <w:p w14:paraId="0383CA0C" w14:textId="77777777" w:rsidR="005D0467" w:rsidRDefault="005D0467">
            <w:pPr>
              <w:pStyle w:val="Header"/>
            </w:pPr>
          </w:p>
        </w:tc>
        <w:tc>
          <w:tcPr>
            <w:tcW w:w="2700" w:type="dxa"/>
          </w:tcPr>
          <w:p w14:paraId="71EAE714" w14:textId="77777777" w:rsidR="005D0467" w:rsidRDefault="005D0467">
            <w:pPr>
              <w:pStyle w:val="Header"/>
            </w:pPr>
          </w:p>
          <w:p w14:paraId="5BAFD75C" w14:textId="77777777" w:rsidR="005D0467" w:rsidRDefault="005D0467">
            <w:pPr>
              <w:pStyle w:val="Header"/>
              <w:rPr>
                <w:bCs/>
                <w:sz w:val="20"/>
              </w:rPr>
            </w:pPr>
            <w:r>
              <w:rPr>
                <w:b/>
                <w:sz w:val="20"/>
              </w:rPr>
              <w:t xml:space="preserve">Approval: </w:t>
            </w:r>
            <w:r>
              <w:rPr>
                <w:bCs/>
                <w:sz w:val="20"/>
              </w:rPr>
              <w:t>Brett Dahl</w:t>
            </w:r>
          </w:p>
          <w:p w14:paraId="03E5D03F" w14:textId="77777777" w:rsidR="005D0467" w:rsidRDefault="005D0467">
            <w:pPr>
              <w:pStyle w:val="Header"/>
            </w:pPr>
          </w:p>
        </w:tc>
      </w:tr>
    </w:tbl>
    <w:p w14:paraId="27AEAC3E" w14:textId="77777777" w:rsidR="005D0467" w:rsidRDefault="005D0467">
      <w:pPr>
        <w:rPr>
          <w:rFonts w:ascii="Arial" w:hAnsi="Arial"/>
          <w:color w:val="000000"/>
        </w:rPr>
      </w:pPr>
    </w:p>
    <w:p w14:paraId="73127B92" w14:textId="77777777" w:rsidR="005D0467" w:rsidRDefault="005D0467">
      <w:pPr>
        <w:rPr>
          <w:rFonts w:ascii="Arial" w:hAnsi="Arial"/>
          <w:color w:val="000000"/>
        </w:rPr>
      </w:pPr>
    </w:p>
    <w:p w14:paraId="271B80F5" w14:textId="77777777" w:rsidR="005D0467" w:rsidRPr="00F7348F" w:rsidRDefault="005D0467">
      <w:pPr>
        <w:rPr>
          <w:rFonts w:ascii="Arial" w:hAnsi="Arial"/>
          <w:b/>
          <w:color w:val="000000"/>
          <w:sz w:val="28"/>
          <w:szCs w:val="28"/>
        </w:rPr>
      </w:pPr>
      <w:r w:rsidRPr="00F7348F">
        <w:rPr>
          <w:rFonts w:ascii="Arial" w:hAnsi="Arial"/>
          <w:b/>
          <w:color w:val="000000"/>
          <w:sz w:val="28"/>
          <w:szCs w:val="28"/>
        </w:rPr>
        <w:t xml:space="preserve">Section: </w:t>
      </w:r>
    </w:p>
    <w:p w14:paraId="652F06A7" w14:textId="77777777" w:rsidR="005D0467" w:rsidRPr="00F7348F" w:rsidRDefault="005D0467">
      <w:pPr>
        <w:numPr>
          <w:ilvl w:val="1"/>
          <w:numId w:val="1"/>
        </w:numPr>
        <w:spacing w:before="0" w:after="0"/>
        <w:ind w:left="1440" w:hanging="360"/>
        <w:outlineLvl w:val="1"/>
        <w:rPr>
          <w:rFonts w:ascii="Arial" w:hAnsi="Arial"/>
          <w:b/>
          <w:sz w:val="28"/>
          <w:szCs w:val="28"/>
        </w:rPr>
      </w:pPr>
      <w:bookmarkStart w:id="0" w:name="_Hlt489320247"/>
      <w:r w:rsidRPr="00F7348F">
        <w:rPr>
          <w:rFonts w:ascii="Arial" w:hAnsi="Arial"/>
          <w:b/>
          <w:sz w:val="28"/>
          <w:szCs w:val="28"/>
        </w:rPr>
        <w:t xml:space="preserve">     </w:t>
      </w:r>
      <w:hyperlink w:anchor="I" w:history="1">
        <w:r w:rsidRPr="00F7348F">
          <w:rPr>
            <w:rStyle w:val="Hyperlink"/>
            <w:rFonts w:ascii="Arial" w:hAnsi="Arial"/>
            <w:b/>
            <w:color w:val="auto"/>
            <w:sz w:val="28"/>
            <w:szCs w:val="28"/>
            <w:u w:val="none"/>
          </w:rPr>
          <w:t>DESCRIPTION</w:t>
        </w:r>
      </w:hyperlink>
      <w:bookmarkEnd w:id="0"/>
    </w:p>
    <w:p w14:paraId="581F11BA" w14:textId="77777777" w:rsidR="005D0467" w:rsidRPr="00F7348F" w:rsidRDefault="005D0467">
      <w:pPr>
        <w:numPr>
          <w:ilvl w:val="1"/>
          <w:numId w:val="1"/>
        </w:numPr>
        <w:spacing w:before="0" w:after="0"/>
        <w:ind w:left="1440" w:hanging="360"/>
        <w:outlineLvl w:val="1"/>
        <w:rPr>
          <w:rStyle w:val="Hyperlink"/>
          <w:rFonts w:ascii="Arial" w:hAnsi="Arial"/>
          <w:b/>
          <w:color w:val="auto"/>
          <w:sz w:val="28"/>
          <w:szCs w:val="28"/>
          <w:u w:val="none"/>
        </w:rPr>
      </w:pPr>
      <w:r w:rsidRPr="00F7348F">
        <w:rPr>
          <w:rFonts w:ascii="Arial" w:hAnsi="Arial"/>
          <w:b/>
          <w:sz w:val="28"/>
          <w:szCs w:val="28"/>
        </w:rPr>
        <w:fldChar w:fldCharType="begin"/>
      </w:r>
      <w:r w:rsidRPr="00F7348F">
        <w:rPr>
          <w:rFonts w:ascii="Arial" w:hAnsi="Arial"/>
          <w:b/>
          <w:sz w:val="28"/>
          <w:szCs w:val="28"/>
        </w:rPr>
        <w:instrText xml:space="preserve"> HYPERLINK  \l "II" </w:instrText>
      </w:r>
      <w:r w:rsidRPr="00F7348F">
        <w:rPr>
          <w:rFonts w:ascii="Arial" w:hAnsi="Arial"/>
          <w:b/>
          <w:sz w:val="28"/>
          <w:szCs w:val="28"/>
        </w:rPr>
        <w:fldChar w:fldCharType="separate"/>
      </w:r>
      <w:r w:rsidRPr="00F7348F">
        <w:rPr>
          <w:rStyle w:val="Hyperlink"/>
          <w:rFonts w:ascii="Arial" w:hAnsi="Arial"/>
          <w:b/>
          <w:color w:val="auto"/>
          <w:sz w:val="28"/>
          <w:szCs w:val="28"/>
          <w:u w:val="none"/>
        </w:rPr>
        <w:t xml:space="preserve">     DEFINITIONS</w:t>
      </w:r>
    </w:p>
    <w:p w14:paraId="3AF7FD57" w14:textId="77777777" w:rsidR="005D0467" w:rsidRPr="00F7348F" w:rsidRDefault="005D0467">
      <w:pPr>
        <w:numPr>
          <w:ilvl w:val="1"/>
          <w:numId w:val="1"/>
        </w:numPr>
        <w:spacing w:before="0" w:after="0"/>
        <w:ind w:left="1440" w:hanging="360"/>
        <w:outlineLvl w:val="1"/>
        <w:rPr>
          <w:rStyle w:val="Hyperlink"/>
          <w:rFonts w:ascii="Arial" w:hAnsi="Arial"/>
          <w:b/>
          <w:color w:val="auto"/>
          <w:sz w:val="28"/>
          <w:szCs w:val="28"/>
          <w:u w:val="none"/>
        </w:rPr>
      </w:pPr>
      <w:r w:rsidRPr="00F7348F">
        <w:rPr>
          <w:rFonts w:ascii="Arial" w:hAnsi="Arial"/>
          <w:b/>
          <w:sz w:val="28"/>
          <w:szCs w:val="28"/>
        </w:rPr>
        <w:fldChar w:fldCharType="end"/>
      </w:r>
      <w:r w:rsidRPr="00F7348F">
        <w:rPr>
          <w:rFonts w:ascii="Arial" w:hAnsi="Arial"/>
          <w:b/>
          <w:sz w:val="28"/>
          <w:szCs w:val="28"/>
        </w:rPr>
        <w:fldChar w:fldCharType="begin"/>
      </w:r>
      <w:r w:rsidRPr="00F7348F">
        <w:rPr>
          <w:rFonts w:ascii="Arial" w:hAnsi="Arial"/>
          <w:b/>
          <w:sz w:val="28"/>
          <w:szCs w:val="28"/>
        </w:rPr>
        <w:instrText xml:space="preserve"> HYPERLINK  \l "III" </w:instrText>
      </w:r>
      <w:r w:rsidRPr="00F7348F">
        <w:rPr>
          <w:rFonts w:ascii="Arial" w:hAnsi="Arial"/>
          <w:b/>
          <w:sz w:val="28"/>
          <w:szCs w:val="28"/>
        </w:rPr>
        <w:fldChar w:fldCharType="separate"/>
      </w:r>
      <w:r w:rsidRPr="00F7348F">
        <w:rPr>
          <w:rStyle w:val="Hyperlink"/>
          <w:rFonts w:ascii="Arial" w:hAnsi="Arial"/>
          <w:b/>
          <w:color w:val="auto"/>
          <w:sz w:val="28"/>
          <w:szCs w:val="28"/>
          <w:u w:val="none"/>
        </w:rPr>
        <w:t xml:space="preserve">     INSURING AGREEMENT</w:t>
      </w:r>
    </w:p>
    <w:p w14:paraId="56BEB43E" w14:textId="77777777" w:rsidR="005D0467" w:rsidRPr="00F7348F" w:rsidRDefault="005D0467">
      <w:pPr>
        <w:pStyle w:val="Heading1"/>
        <w:numPr>
          <w:ilvl w:val="0"/>
          <w:numId w:val="0"/>
        </w:numPr>
        <w:ind w:left="1080"/>
        <w:rPr>
          <w:rStyle w:val="Hyperlink"/>
          <w:b/>
          <w:color w:val="auto"/>
          <w:sz w:val="28"/>
          <w:szCs w:val="28"/>
          <w:u w:val="none"/>
        </w:rPr>
      </w:pPr>
      <w:r w:rsidRPr="00F7348F">
        <w:rPr>
          <w:b/>
          <w:color w:val="auto"/>
          <w:sz w:val="28"/>
          <w:szCs w:val="28"/>
          <w:u w:val="none"/>
        </w:rPr>
        <w:fldChar w:fldCharType="end"/>
      </w:r>
      <w:r w:rsidRPr="00F7348F">
        <w:rPr>
          <w:b/>
          <w:color w:val="auto"/>
          <w:sz w:val="28"/>
          <w:szCs w:val="28"/>
          <w:u w:val="none"/>
        </w:rPr>
        <w:fldChar w:fldCharType="begin"/>
      </w:r>
      <w:r w:rsidRPr="00F7348F">
        <w:rPr>
          <w:b/>
          <w:color w:val="auto"/>
          <w:sz w:val="28"/>
          <w:szCs w:val="28"/>
          <w:u w:val="none"/>
        </w:rPr>
        <w:instrText xml:space="preserve"> HYPERLINK  \l "IV" </w:instrText>
      </w:r>
      <w:r w:rsidRPr="00F7348F">
        <w:rPr>
          <w:b/>
          <w:color w:val="auto"/>
          <w:sz w:val="28"/>
          <w:szCs w:val="28"/>
          <w:u w:val="none"/>
        </w:rPr>
        <w:fldChar w:fldCharType="separate"/>
      </w:r>
      <w:r w:rsidRPr="00F7348F">
        <w:rPr>
          <w:rStyle w:val="Hyperlink"/>
          <w:b/>
          <w:color w:val="auto"/>
          <w:sz w:val="28"/>
          <w:szCs w:val="28"/>
          <w:u w:val="none"/>
        </w:rPr>
        <w:t>IV.     EXTENSIONS OF COVERAGE</w:t>
      </w:r>
    </w:p>
    <w:p w14:paraId="6D158CDB" w14:textId="77777777" w:rsidR="005D0467" w:rsidRPr="00F7348F" w:rsidRDefault="005D0467">
      <w:pPr>
        <w:pStyle w:val="Heading1"/>
        <w:numPr>
          <w:ilvl w:val="0"/>
          <w:numId w:val="0"/>
        </w:numPr>
        <w:ind w:left="1080"/>
        <w:rPr>
          <w:rStyle w:val="Hyperlink"/>
          <w:b/>
          <w:color w:val="auto"/>
          <w:sz w:val="28"/>
          <w:szCs w:val="28"/>
          <w:u w:val="none"/>
        </w:rPr>
      </w:pPr>
      <w:r w:rsidRPr="00F7348F">
        <w:rPr>
          <w:b/>
          <w:color w:val="auto"/>
          <w:sz w:val="28"/>
          <w:szCs w:val="28"/>
          <w:u w:val="none"/>
        </w:rPr>
        <w:fldChar w:fldCharType="end"/>
      </w:r>
      <w:r w:rsidRPr="00F7348F">
        <w:rPr>
          <w:b/>
          <w:color w:val="auto"/>
          <w:sz w:val="28"/>
          <w:szCs w:val="28"/>
          <w:u w:val="none"/>
        </w:rPr>
        <w:fldChar w:fldCharType="begin"/>
      </w:r>
      <w:r w:rsidRPr="00F7348F">
        <w:rPr>
          <w:b/>
          <w:color w:val="auto"/>
          <w:sz w:val="28"/>
          <w:szCs w:val="28"/>
          <w:u w:val="none"/>
        </w:rPr>
        <w:instrText xml:space="preserve"> HYPERLINK  \l "V" </w:instrText>
      </w:r>
      <w:r w:rsidRPr="00F7348F">
        <w:rPr>
          <w:b/>
          <w:color w:val="auto"/>
          <w:sz w:val="28"/>
          <w:szCs w:val="28"/>
          <w:u w:val="none"/>
        </w:rPr>
        <w:fldChar w:fldCharType="separate"/>
      </w:r>
      <w:r w:rsidRPr="00F7348F">
        <w:rPr>
          <w:rStyle w:val="Hyperlink"/>
          <w:b/>
          <w:color w:val="auto"/>
          <w:sz w:val="28"/>
          <w:szCs w:val="28"/>
          <w:u w:val="none"/>
        </w:rPr>
        <w:t>V.      EXCLUSIONS</w:t>
      </w:r>
    </w:p>
    <w:p w14:paraId="6EC9A1B2" w14:textId="77777777" w:rsidR="005D0467" w:rsidRPr="00F7348F" w:rsidRDefault="005D0467">
      <w:pPr>
        <w:spacing w:before="0" w:after="0"/>
        <w:ind w:left="1080"/>
        <w:outlineLvl w:val="1"/>
        <w:rPr>
          <w:rStyle w:val="Hyperlink"/>
          <w:rFonts w:ascii="Arial" w:hAnsi="Arial"/>
          <w:b/>
          <w:color w:val="auto"/>
          <w:sz w:val="28"/>
          <w:szCs w:val="28"/>
          <w:u w:val="none"/>
        </w:rPr>
      </w:pPr>
      <w:r w:rsidRPr="00F7348F">
        <w:rPr>
          <w:rFonts w:ascii="Arial" w:hAnsi="Arial"/>
          <w:b/>
          <w:sz w:val="28"/>
          <w:szCs w:val="28"/>
        </w:rPr>
        <w:fldChar w:fldCharType="end"/>
      </w:r>
      <w:r w:rsidRPr="00F7348F">
        <w:rPr>
          <w:rFonts w:ascii="Arial" w:hAnsi="Arial"/>
          <w:b/>
          <w:sz w:val="28"/>
          <w:szCs w:val="28"/>
        </w:rPr>
        <w:fldChar w:fldCharType="begin"/>
      </w:r>
      <w:r w:rsidRPr="00F7348F">
        <w:rPr>
          <w:rFonts w:ascii="Arial" w:hAnsi="Arial"/>
          <w:b/>
          <w:sz w:val="28"/>
          <w:szCs w:val="28"/>
        </w:rPr>
        <w:instrText xml:space="preserve"> HYPERLINK  \l "VI" </w:instrText>
      </w:r>
      <w:r w:rsidRPr="00F7348F">
        <w:rPr>
          <w:rFonts w:ascii="Arial" w:hAnsi="Arial"/>
          <w:b/>
          <w:sz w:val="28"/>
          <w:szCs w:val="28"/>
        </w:rPr>
        <w:fldChar w:fldCharType="separate"/>
      </w:r>
      <w:r w:rsidRPr="00F7348F">
        <w:rPr>
          <w:rStyle w:val="Hyperlink"/>
          <w:rFonts w:ascii="Arial" w:hAnsi="Arial"/>
          <w:b/>
          <w:color w:val="auto"/>
          <w:sz w:val="28"/>
          <w:szCs w:val="28"/>
          <w:u w:val="none"/>
        </w:rPr>
        <w:t>VI.     PROGRAM REQUIREMENTS</w:t>
      </w:r>
    </w:p>
    <w:p w14:paraId="484D187C" w14:textId="77777777" w:rsidR="005D0467" w:rsidRPr="00F7348F" w:rsidRDefault="005D0467">
      <w:pPr>
        <w:spacing w:before="0" w:after="0"/>
        <w:ind w:left="1080"/>
        <w:outlineLvl w:val="1"/>
        <w:rPr>
          <w:rStyle w:val="Hyperlink"/>
          <w:rFonts w:ascii="Arial" w:hAnsi="Arial"/>
          <w:b/>
          <w:color w:val="auto"/>
          <w:sz w:val="28"/>
          <w:szCs w:val="28"/>
          <w:u w:val="none"/>
        </w:rPr>
      </w:pPr>
      <w:r w:rsidRPr="00F7348F">
        <w:rPr>
          <w:rFonts w:ascii="Arial" w:hAnsi="Arial"/>
          <w:b/>
          <w:sz w:val="28"/>
          <w:szCs w:val="28"/>
        </w:rPr>
        <w:fldChar w:fldCharType="end"/>
      </w:r>
      <w:r w:rsidRPr="00F7348F">
        <w:rPr>
          <w:rFonts w:ascii="Arial" w:hAnsi="Arial"/>
          <w:b/>
          <w:sz w:val="28"/>
          <w:szCs w:val="28"/>
        </w:rPr>
        <w:fldChar w:fldCharType="begin"/>
      </w:r>
      <w:r w:rsidRPr="00F7348F">
        <w:rPr>
          <w:rFonts w:ascii="Arial" w:hAnsi="Arial"/>
          <w:b/>
          <w:sz w:val="28"/>
          <w:szCs w:val="28"/>
        </w:rPr>
        <w:instrText xml:space="preserve"> HYPERLINK  \l "VII" </w:instrText>
      </w:r>
      <w:r w:rsidRPr="00F7348F">
        <w:rPr>
          <w:rFonts w:ascii="Arial" w:hAnsi="Arial"/>
          <w:b/>
          <w:sz w:val="28"/>
          <w:szCs w:val="28"/>
        </w:rPr>
        <w:fldChar w:fldCharType="separate"/>
      </w:r>
      <w:r w:rsidRPr="00F7348F">
        <w:rPr>
          <w:rStyle w:val="Hyperlink"/>
          <w:rFonts w:ascii="Arial" w:hAnsi="Arial"/>
          <w:b/>
          <w:color w:val="auto"/>
          <w:sz w:val="28"/>
          <w:szCs w:val="28"/>
          <w:u w:val="none"/>
        </w:rPr>
        <w:t>VII.    SPECIAL SERVICES</w:t>
      </w:r>
    </w:p>
    <w:p w14:paraId="50B11966" w14:textId="77777777" w:rsidR="005D0467" w:rsidRPr="00F7348F" w:rsidRDefault="005D0467">
      <w:pPr>
        <w:spacing w:before="0" w:after="0"/>
        <w:ind w:left="1080"/>
        <w:outlineLvl w:val="1"/>
        <w:rPr>
          <w:rStyle w:val="Hyperlink"/>
          <w:rFonts w:ascii="Arial" w:hAnsi="Arial"/>
          <w:b/>
          <w:color w:val="auto"/>
          <w:sz w:val="28"/>
          <w:szCs w:val="28"/>
          <w:u w:val="none"/>
        </w:rPr>
      </w:pPr>
      <w:r w:rsidRPr="00F7348F">
        <w:rPr>
          <w:rFonts w:ascii="Arial" w:hAnsi="Arial"/>
          <w:b/>
          <w:sz w:val="28"/>
          <w:szCs w:val="28"/>
        </w:rPr>
        <w:fldChar w:fldCharType="end"/>
      </w:r>
      <w:r w:rsidRPr="00F7348F">
        <w:rPr>
          <w:rFonts w:ascii="Arial" w:hAnsi="Arial"/>
          <w:b/>
          <w:sz w:val="28"/>
          <w:szCs w:val="28"/>
        </w:rPr>
        <w:fldChar w:fldCharType="begin"/>
      </w:r>
      <w:r w:rsidRPr="00F7348F">
        <w:rPr>
          <w:rFonts w:ascii="Arial" w:hAnsi="Arial"/>
          <w:b/>
          <w:sz w:val="28"/>
          <w:szCs w:val="28"/>
        </w:rPr>
        <w:instrText xml:space="preserve"> HYPERLINK  \l "VIII" </w:instrText>
      </w:r>
      <w:r w:rsidRPr="00F7348F">
        <w:rPr>
          <w:rFonts w:ascii="Arial" w:hAnsi="Arial"/>
          <w:b/>
          <w:sz w:val="28"/>
          <w:szCs w:val="28"/>
        </w:rPr>
        <w:fldChar w:fldCharType="separate"/>
      </w:r>
      <w:r w:rsidR="00F7348F">
        <w:rPr>
          <w:rStyle w:val="Hyperlink"/>
          <w:rFonts w:ascii="Arial" w:hAnsi="Arial"/>
          <w:b/>
          <w:color w:val="auto"/>
          <w:sz w:val="28"/>
          <w:szCs w:val="28"/>
          <w:u w:val="none"/>
        </w:rPr>
        <w:t>VIII.   REPORTING LOSSES</w:t>
      </w:r>
    </w:p>
    <w:p w14:paraId="35283B6B" w14:textId="77777777" w:rsidR="005D0467" w:rsidRPr="00F7348F" w:rsidRDefault="005D0467">
      <w:pPr>
        <w:pStyle w:val="Heading4"/>
        <w:numPr>
          <w:ilvl w:val="0"/>
          <w:numId w:val="0"/>
        </w:numPr>
        <w:ind w:left="1080"/>
        <w:rPr>
          <w:rStyle w:val="Hyperlink"/>
          <w:b/>
          <w:color w:val="auto"/>
          <w:sz w:val="28"/>
          <w:szCs w:val="28"/>
          <w:u w:val="none"/>
        </w:rPr>
      </w:pPr>
      <w:r w:rsidRPr="00F7348F">
        <w:rPr>
          <w:b/>
          <w:color w:val="auto"/>
          <w:sz w:val="28"/>
          <w:szCs w:val="28"/>
          <w:u w:val="none"/>
        </w:rPr>
        <w:fldChar w:fldCharType="end"/>
      </w:r>
      <w:r w:rsidRPr="00F7348F">
        <w:rPr>
          <w:b/>
          <w:color w:val="auto"/>
          <w:sz w:val="28"/>
          <w:szCs w:val="28"/>
          <w:u w:val="none"/>
        </w:rPr>
        <w:fldChar w:fldCharType="begin"/>
      </w:r>
      <w:r w:rsidR="001046A2">
        <w:rPr>
          <w:b/>
          <w:color w:val="auto"/>
          <w:sz w:val="28"/>
          <w:szCs w:val="28"/>
          <w:u w:val="none"/>
        </w:rPr>
        <w:instrText>HYPERLINK "https://rmtd.mt.gov/Portals/62/insurance/files/IX"</w:instrText>
      </w:r>
      <w:r w:rsidRPr="00F7348F">
        <w:rPr>
          <w:b/>
          <w:color w:val="auto"/>
          <w:sz w:val="28"/>
          <w:szCs w:val="28"/>
          <w:u w:val="none"/>
        </w:rPr>
        <w:fldChar w:fldCharType="separate"/>
      </w:r>
      <w:r w:rsidRPr="00F7348F">
        <w:rPr>
          <w:rStyle w:val="Hyperlink"/>
          <w:b/>
          <w:color w:val="auto"/>
          <w:sz w:val="28"/>
          <w:szCs w:val="28"/>
          <w:u w:val="none"/>
        </w:rPr>
        <w:t>IX.     LIMITS</w:t>
      </w:r>
    </w:p>
    <w:p w14:paraId="637C37C8" w14:textId="77777777" w:rsidR="005D0467" w:rsidRPr="00F7348F" w:rsidRDefault="005D0467">
      <w:pPr>
        <w:pStyle w:val="Heading1"/>
        <w:numPr>
          <w:ilvl w:val="0"/>
          <w:numId w:val="0"/>
        </w:numPr>
        <w:ind w:left="1080"/>
        <w:rPr>
          <w:rStyle w:val="Hyperlink"/>
          <w:b/>
          <w:color w:val="auto"/>
          <w:sz w:val="28"/>
          <w:szCs w:val="28"/>
          <w:u w:val="none"/>
        </w:rPr>
      </w:pPr>
      <w:r w:rsidRPr="00F7348F">
        <w:rPr>
          <w:b/>
          <w:color w:val="auto"/>
          <w:sz w:val="28"/>
          <w:szCs w:val="28"/>
          <w:u w:val="none"/>
        </w:rPr>
        <w:fldChar w:fldCharType="end"/>
      </w:r>
      <w:r w:rsidRPr="00F7348F">
        <w:rPr>
          <w:b/>
          <w:color w:val="auto"/>
          <w:sz w:val="28"/>
          <w:szCs w:val="28"/>
          <w:u w:val="none"/>
        </w:rPr>
        <w:fldChar w:fldCharType="begin"/>
      </w:r>
      <w:r w:rsidRPr="00F7348F">
        <w:rPr>
          <w:b/>
          <w:color w:val="auto"/>
          <w:sz w:val="28"/>
          <w:szCs w:val="28"/>
          <w:u w:val="none"/>
        </w:rPr>
        <w:instrText xml:space="preserve"> HYPERLINK  \l "X" </w:instrText>
      </w:r>
      <w:r w:rsidRPr="00F7348F">
        <w:rPr>
          <w:b/>
          <w:color w:val="auto"/>
          <w:sz w:val="28"/>
          <w:szCs w:val="28"/>
          <w:u w:val="none"/>
        </w:rPr>
        <w:fldChar w:fldCharType="separate"/>
      </w:r>
      <w:r w:rsidRPr="00F7348F">
        <w:rPr>
          <w:rStyle w:val="Hyperlink"/>
          <w:b/>
          <w:color w:val="auto"/>
          <w:sz w:val="28"/>
          <w:szCs w:val="28"/>
          <w:u w:val="none"/>
        </w:rPr>
        <w:t>X.      DEDUCTIBLES</w:t>
      </w:r>
    </w:p>
    <w:p w14:paraId="2F74F18A" w14:textId="77777777" w:rsidR="005D0467" w:rsidRPr="00F7348F" w:rsidRDefault="005D0467">
      <w:pPr>
        <w:spacing w:before="0" w:after="0"/>
        <w:ind w:left="1080"/>
        <w:outlineLvl w:val="1"/>
        <w:rPr>
          <w:rStyle w:val="Hyperlink"/>
          <w:rFonts w:ascii="Arial" w:hAnsi="Arial"/>
          <w:b/>
          <w:color w:val="auto"/>
          <w:sz w:val="28"/>
          <w:szCs w:val="28"/>
          <w:u w:val="none"/>
        </w:rPr>
      </w:pPr>
      <w:r w:rsidRPr="00F7348F">
        <w:rPr>
          <w:rFonts w:ascii="Arial" w:hAnsi="Arial"/>
          <w:b/>
          <w:sz w:val="28"/>
          <w:szCs w:val="28"/>
        </w:rPr>
        <w:fldChar w:fldCharType="end"/>
      </w:r>
      <w:r w:rsidRPr="00F7348F">
        <w:rPr>
          <w:rFonts w:ascii="Arial" w:hAnsi="Arial"/>
          <w:b/>
          <w:sz w:val="28"/>
          <w:szCs w:val="28"/>
        </w:rPr>
        <w:fldChar w:fldCharType="begin"/>
      </w:r>
      <w:r w:rsidRPr="00F7348F">
        <w:rPr>
          <w:rFonts w:ascii="Arial" w:hAnsi="Arial"/>
          <w:b/>
          <w:sz w:val="28"/>
          <w:szCs w:val="28"/>
        </w:rPr>
        <w:instrText xml:space="preserve"> HYPERLINK  \l "XI" </w:instrText>
      </w:r>
      <w:r w:rsidRPr="00F7348F">
        <w:rPr>
          <w:rFonts w:ascii="Arial" w:hAnsi="Arial"/>
          <w:b/>
          <w:sz w:val="28"/>
          <w:szCs w:val="28"/>
        </w:rPr>
        <w:fldChar w:fldCharType="separate"/>
      </w:r>
      <w:r w:rsidRPr="00F7348F">
        <w:rPr>
          <w:rStyle w:val="Hyperlink"/>
          <w:rFonts w:ascii="Arial" w:hAnsi="Arial"/>
          <w:b/>
          <w:color w:val="auto"/>
          <w:sz w:val="28"/>
          <w:szCs w:val="28"/>
          <w:u w:val="none"/>
        </w:rPr>
        <w:t>XI.     PREMIUMS</w:t>
      </w:r>
    </w:p>
    <w:p w14:paraId="3462F49B" w14:textId="77777777" w:rsidR="005D0467" w:rsidRDefault="005D0467">
      <w:pPr>
        <w:spacing w:before="0" w:after="0"/>
        <w:ind w:left="1080"/>
        <w:outlineLvl w:val="1"/>
        <w:rPr>
          <w:rFonts w:ascii="Arial" w:hAnsi="Arial"/>
          <w:b/>
        </w:rPr>
      </w:pPr>
      <w:r w:rsidRPr="00F7348F">
        <w:rPr>
          <w:rFonts w:ascii="Arial" w:hAnsi="Arial"/>
          <w:b/>
          <w:sz w:val="28"/>
          <w:szCs w:val="28"/>
        </w:rPr>
        <w:fldChar w:fldCharType="end"/>
      </w:r>
    </w:p>
    <w:p w14:paraId="534E9DFF" w14:textId="77777777" w:rsidR="005D0467" w:rsidRDefault="005D0467">
      <w:pPr>
        <w:spacing w:before="0" w:after="0"/>
        <w:ind w:left="1080"/>
        <w:outlineLvl w:val="1"/>
        <w:rPr>
          <w:rFonts w:ascii="Arial" w:hAnsi="Arial"/>
          <w:color w:val="000000"/>
          <w:u w:val="single"/>
        </w:rPr>
      </w:pPr>
      <w:r>
        <w:rPr>
          <w:rFonts w:ascii="Arial" w:hAnsi="Arial"/>
          <w:color w:val="000000"/>
          <w:u w:val="single"/>
        </w:rPr>
        <w:t xml:space="preserve"> </w:t>
      </w:r>
    </w:p>
    <w:p w14:paraId="0A10289D" w14:textId="77777777" w:rsidR="005D0467" w:rsidRDefault="005D0467">
      <w:pPr>
        <w:spacing w:before="0" w:after="0"/>
        <w:ind w:left="1080"/>
        <w:outlineLvl w:val="1"/>
        <w:rPr>
          <w:rFonts w:ascii="Arial" w:hAnsi="Arial"/>
          <w:color w:val="000000"/>
          <w:u w:val="single"/>
        </w:rPr>
      </w:pPr>
    </w:p>
    <w:p w14:paraId="28F2D4DF" w14:textId="77777777" w:rsidR="005D0467" w:rsidRDefault="005D0467">
      <w:pPr>
        <w:pStyle w:val="Blockquote"/>
        <w:ind w:left="720" w:right="720"/>
        <w:rPr>
          <w:rFonts w:ascii="Arial" w:hAnsi="Arial"/>
          <w:b/>
          <w:bCs/>
          <w:color w:val="000000"/>
        </w:rPr>
      </w:pPr>
    </w:p>
    <w:p w14:paraId="06DD2D95" w14:textId="77777777" w:rsidR="00AA4521" w:rsidRDefault="00AA4521">
      <w:pPr>
        <w:pStyle w:val="Blockquote"/>
        <w:ind w:left="720" w:right="720"/>
        <w:rPr>
          <w:rFonts w:ascii="Arial" w:hAnsi="Arial"/>
          <w:b/>
          <w:bCs/>
          <w:color w:val="000000"/>
        </w:rPr>
      </w:pPr>
    </w:p>
    <w:p w14:paraId="6E2A53F0" w14:textId="77777777" w:rsidR="00F7348F" w:rsidRDefault="00F7348F">
      <w:pPr>
        <w:pStyle w:val="Blockquote"/>
        <w:ind w:left="720" w:right="720"/>
        <w:rPr>
          <w:rFonts w:ascii="Arial" w:hAnsi="Arial"/>
          <w:b/>
          <w:bCs/>
          <w:color w:val="000000"/>
        </w:rPr>
      </w:pPr>
    </w:p>
    <w:p w14:paraId="68E321D6" w14:textId="77777777" w:rsidR="00F7348F" w:rsidRDefault="00F7348F">
      <w:pPr>
        <w:pStyle w:val="Blockquote"/>
        <w:ind w:left="720" w:right="720"/>
        <w:rPr>
          <w:rFonts w:ascii="Arial" w:hAnsi="Arial"/>
          <w:color w:val="000000"/>
        </w:rPr>
      </w:pPr>
    </w:p>
    <w:p w14:paraId="6C95EE20" w14:textId="77777777" w:rsidR="005D0467" w:rsidRDefault="005D0467">
      <w:pPr>
        <w:pStyle w:val="Blockquote"/>
        <w:ind w:left="720" w:right="720"/>
        <w:rPr>
          <w:rFonts w:ascii="Arial" w:hAnsi="Arial"/>
          <w:color w:val="000000"/>
        </w:rPr>
      </w:pPr>
    </w:p>
    <w:p w14:paraId="4EDD243B" w14:textId="77777777" w:rsidR="005D0467" w:rsidRDefault="005D0467" w:rsidP="00814DF9">
      <w:pPr>
        <w:pStyle w:val="Blockquote"/>
        <w:numPr>
          <w:ilvl w:val="0"/>
          <w:numId w:val="9"/>
        </w:numPr>
        <w:ind w:right="720"/>
        <w:rPr>
          <w:rFonts w:ascii="Arial" w:hAnsi="Arial"/>
          <w:b/>
          <w:color w:val="000000"/>
          <w:sz w:val="28"/>
        </w:rPr>
      </w:pPr>
      <w:bookmarkStart w:id="1" w:name="I"/>
      <w:r>
        <w:rPr>
          <w:rFonts w:ascii="Arial" w:hAnsi="Arial"/>
          <w:b/>
          <w:color w:val="000000"/>
          <w:sz w:val="28"/>
        </w:rPr>
        <w:t>DESCRIPTION</w:t>
      </w:r>
    </w:p>
    <w:p w14:paraId="14C3C6C6" w14:textId="77777777" w:rsidR="00814DF9" w:rsidRDefault="00814DF9" w:rsidP="0089041F">
      <w:pPr>
        <w:ind w:left="720"/>
        <w:jc w:val="both"/>
        <w:rPr>
          <w:rFonts w:ascii="Arial" w:hAnsi="Arial"/>
        </w:rPr>
      </w:pPr>
      <w:r>
        <w:rPr>
          <w:rFonts w:ascii="Arial" w:hAnsi="Arial"/>
        </w:rPr>
        <w:t>In accordance with §2-9-101, MCA through §2-9-305, MCA,</w:t>
      </w:r>
      <w:r>
        <w:t xml:space="preserve"> t</w:t>
      </w:r>
      <w:r>
        <w:rPr>
          <w:rFonts w:ascii="Arial" w:hAnsi="Arial"/>
        </w:rPr>
        <w:t xml:space="preserve">he Department of Administration, Risk Management &amp; Tort Defense Division administers a comprehensive insurance plan in behalf of </w:t>
      </w:r>
      <w:smartTag w:uri="urn:schemas-microsoft-com:office:smarttags" w:element="place">
        <w:smartTag w:uri="urn:schemas-microsoft-com:office:smarttags" w:element="State">
          <w:r>
            <w:rPr>
              <w:rFonts w:ascii="Arial" w:hAnsi="Arial"/>
            </w:rPr>
            <w:t>Montana</w:t>
          </w:r>
        </w:smartTag>
      </w:smartTag>
      <w:r>
        <w:rPr>
          <w:rFonts w:ascii="Arial" w:hAnsi="Arial"/>
        </w:rPr>
        <w:t xml:space="preserve"> state government. The division also defends and indemnifies state agencies and employees in any TORT claim for damages arising from the lawful discharge of official duties rendered or which should have been rendered in the course of employment and within the scope of duty. This document provides a broad overview of insurance coverage provided under the state property/casualty insurance plan as well as specific program requirements for state agencies that participate in the state’s </w:t>
      </w:r>
      <w:r w:rsidR="00CF4EB8">
        <w:rPr>
          <w:rFonts w:ascii="Arial" w:hAnsi="Arial"/>
        </w:rPr>
        <w:t>crime</w:t>
      </w:r>
      <w:r>
        <w:rPr>
          <w:rFonts w:ascii="Arial" w:hAnsi="Arial"/>
        </w:rPr>
        <w:t xml:space="preserve"> insurance program.  </w:t>
      </w:r>
      <w:r w:rsidR="00770B8D">
        <w:rPr>
          <w:rFonts w:ascii="Arial" w:hAnsi="Arial"/>
        </w:rPr>
        <w:t xml:space="preserve">This </w:t>
      </w:r>
      <w:r w:rsidR="0089041F" w:rsidRPr="0089041F">
        <w:rPr>
          <w:rFonts w:ascii="Arial" w:hAnsi="Arial"/>
        </w:rPr>
        <w:t>document does not amend, alter, or extend</w:t>
      </w:r>
      <w:r w:rsidR="0089041F">
        <w:rPr>
          <w:rFonts w:ascii="Arial" w:hAnsi="Arial"/>
        </w:rPr>
        <w:t xml:space="preserve"> </w:t>
      </w:r>
      <w:r w:rsidR="0089041F" w:rsidRPr="0089041F">
        <w:rPr>
          <w:rFonts w:ascii="Arial" w:hAnsi="Arial"/>
        </w:rPr>
        <w:t>coverage provided under the state property/casualty insurance program or statute</w:t>
      </w:r>
      <w:r w:rsidR="00770B8D">
        <w:rPr>
          <w:rFonts w:ascii="Arial" w:hAnsi="Arial"/>
        </w:rPr>
        <w:t xml:space="preserve">.  </w:t>
      </w:r>
      <w:r>
        <w:rPr>
          <w:rFonts w:ascii="Arial" w:hAnsi="Arial"/>
        </w:rPr>
        <w:t xml:space="preserve">Do not attempt to interpret coverage, limits, or exclusions and apply these to state activities without contacting the Risk Management &amp; Tort Defense Division. Specific exclusions, limits, or conditions may apply. </w:t>
      </w:r>
    </w:p>
    <w:p w14:paraId="35AD5D84" w14:textId="77777777" w:rsidR="005D0467" w:rsidRDefault="005D0467">
      <w:pPr>
        <w:numPr>
          <w:ilvl w:val="0"/>
          <w:numId w:val="9"/>
        </w:numPr>
        <w:jc w:val="both"/>
        <w:rPr>
          <w:rFonts w:ascii="Arial" w:hAnsi="Arial"/>
          <w:b/>
          <w:sz w:val="28"/>
        </w:rPr>
      </w:pPr>
      <w:bookmarkStart w:id="2" w:name="II"/>
      <w:bookmarkEnd w:id="1"/>
      <w:r>
        <w:rPr>
          <w:rFonts w:ascii="Arial" w:hAnsi="Arial"/>
          <w:b/>
          <w:sz w:val="28"/>
        </w:rPr>
        <w:t>DEFINITIONS</w:t>
      </w:r>
    </w:p>
    <w:bookmarkEnd w:id="2"/>
    <w:p w14:paraId="56E964A6" w14:textId="77777777" w:rsidR="005D0467" w:rsidRDefault="005D0467">
      <w:pPr>
        <w:pStyle w:val="Blockquote"/>
        <w:ind w:left="720" w:right="1080"/>
        <w:jc w:val="both"/>
        <w:outlineLvl w:val="0"/>
        <w:rPr>
          <w:rFonts w:ascii="Arial" w:hAnsi="Arial"/>
          <w:color w:val="000000"/>
        </w:rPr>
      </w:pPr>
      <w:r>
        <w:rPr>
          <w:rFonts w:ascii="Arial" w:hAnsi="Arial"/>
          <w:b/>
          <w:i/>
          <w:color w:val="000000"/>
          <w:sz w:val="28"/>
        </w:rPr>
        <w:t>Division</w:t>
      </w:r>
      <w:r>
        <w:rPr>
          <w:rFonts w:ascii="Arial" w:hAnsi="Arial"/>
          <w:color w:val="000000"/>
          <w:sz w:val="28"/>
        </w:rPr>
        <w:t xml:space="preserve"> </w:t>
      </w:r>
      <w:r>
        <w:rPr>
          <w:rFonts w:ascii="Arial" w:hAnsi="Arial"/>
          <w:color w:val="000000"/>
        </w:rPr>
        <w:t>means the Risk Management &amp; Tort Defense Division.</w:t>
      </w:r>
    </w:p>
    <w:p w14:paraId="52C70A06" w14:textId="77777777" w:rsidR="005D0467" w:rsidRDefault="005D0467" w:rsidP="00F7348F">
      <w:pPr>
        <w:ind w:left="720"/>
        <w:rPr>
          <w:rFonts w:ascii="Arial" w:hAnsi="Arial"/>
        </w:rPr>
      </w:pPr>
      <w:r>
        <w:rPr>
          <w:rFonts w:ascii="Arial" w:hAnsi="Arial"/>
          <w:b/>
          <w:i/>
          <w:sz w:val="28"/>
        </w:rPr>
        <w:t>Employee</w:t>
      </w:r>
      <w:r>
        <w:rPr>
          <w:rFonts w:ascii="Arial" w:hAnsi="Arial"/>
          <w:b/>
          <w:i/>
          <w:sz w:val="32"/>
        </w:rPr>
        <w:t xml:space="preserve"> </w:t>
      </w:r>
      <w:r>
        <w:rPr>
          <w:rFonts w:ascii="Arial" w:hAnsi="Arial"/>
        </w:rPr>
        <w:t>means any person while in the service of the state (and for 30 days after termination of service), whom the state compensates directly by salary, wages, or commissions and whom the state has the right to direct and control while performing services for the state; and any person who is furnished to the state to substitute for a permanent employee on leave, or meet seasonal or short-term workload conditions, while that person is subject to the state’s direction and control and performing services for the state excluding, however, any such person while having care and custody of property outside the premises.</w:t>
      </w:r>
    </w:p>
    <w:p w14:paraId="38D85A3A" w14:textId="77777777" w:rsidR="005D0467" w:rsidRDefault="005D0467" w:rsidP="00F7348F">
      <w:pPr>
        <w:ind w:left="720"/>
        <w:rPr>
          <w:rFonts w:ascii="Arial" w:hAnsi="Arial"/>
        </w:rPr>
      </w:pPr>
      <w:r>
        <w:rPr>
          <w:rFonts w:ascii="Arial" w:hAnsi="Arial"/>
        </w:rPr>
        <w:t xml:space="preserve">Employee does not mean any agent, broker, person leased to the state by a labor leasing firm, factor, commission merchant, consignee, independent contractor or representative of the same general character; or director or </w:t>
      </w:r>
      <w:r w:rsidR="002458B0">
        <w:rPr>
          <w:rFonts w:ascii="Arial" w:hAnsi="Arial"/>
        </w:rPr>
        <w:t>trustee while</w:t>
      </w:r>
      <w:r>
        <w:rPr>
          <w:rFonts w:ascii="Arial" w:hAnsi="Arial"/>
        </w:rPr>
        <w:t xml:space="preserve"> performing acts coming within the scope of the usual duties of an employee.</w:t>
      </w:r>
    </w:p>
    <w:p w14:paraId="5F0A38F0" w14:textId="77777777" w:rsidR="005D0467" w:rsidRDefault="005D0467" w:rsidP="00F7348F">
      <w:pPr>
        <w:ind w:left="720"/>
        <w:rPr>
          <w:rFonts w:ascii="Arial" w:hAnsi="Arial"/>
        </w:rPr>
      </w:pPr>
      <w:r>
        <w:rPr>
          <w:rFonts w:ascii="Arial" w:hAnsi="Arial"/>
          <w:b/>
          <w:i/>
          <w:sz w:val="28"/>
        </w:rPr>
        <w:t>Money</w:t>
      </w:r>
      <w:r>
        <w:rPr>
          <w:rFonts w:ascii="Arial" w:hAnsi="Arial"/>
        </w:rPr>
        <w:t xml:space="preserve"> means </w:t>
      </w:r>
      <w:r w:rsidR="00232B31">
        <w:rPr>
          <w:rFonts w:ascii="Arial" w:hAnsi="Arial"/>
        </w:rPr>
        <w:t xml:space="preserve">a medium of exchange in current use and authorized or adopted by a domestic or foreign government including </w:t>
      </w:r>
      <w:r>
        <w:rPr>
          <w:rFonts w:ascii="Arial" w:hAnsi="Arial"/>
        </w:rPr>
        <w:t>currency, coins, bank notes</w:t>
      </w:r>
      <w:r w:rsidR="00232B31">
        <w:rPr>
          <w:rFonts w:ascii="Arial" w:hAnsi="Arial"/>
        </w:rPr>
        <w:t xml:space="preserve">, bullion, traveler’s checks, registered checks, and money orders. </w:t>
      </w:r>
    </w:p>
    <w:p w14:paraId="26372F2C" w14:textId="77777777" w:rsidR="005D0467" w:rsidRDefault="005D0467" w:rsidP="00F7348F">
      <w:pPr>
        <w:pStyle w:val="Blockquote"/>
        <w:ind w:left="720" w:right="1080"/>
        <w:outlineLvl w:val="0"/>
        <w:rPr>
          <w:rFonts w:ascii="Arial" w:hAnsi="Arial"/>
          <w:color w:val="000000"/>
        </w:rPr>
      </w:pPr>
      <w:r w:rsidRPr="00814DF9">
        <w:rPr>
          <w:rFonts w:ascii="Arial" w:hAnsi="Arial"/>
          <w:b/>
          <w:i/>
          <w:color w:val="000000"/>
          <w:sz w:val="28"/>
          <w:szCs w:val="28"/>
        </w:rPr>
        <w:t>Occurrence</w:t>
      </w:r>
      <w:r>
        <w:rPr>
          <w:rFonts w:ascii="Arial" w:hAnsi="Arial"/>
          <w:b/>
          <w:i/>
          <w:color w:val="000000"/>
        </w:rPr>
        <w:t xml:space="preserve"> </w:t>
      </w:r>
      <w:r>
        <w:rPr>
          <w:rFonts w:ascii="Arial" w:hAnsi="Arial"/>
          <w:color w:val="000000"/>
        </w:rPr>
        <w:t>means an accident, including continuous or repeated exposure to conditions, which result in bodily injury or property damage during the policy period, neither expected nor intended from the standpoint of the state.</w:t>
      </w:r>
    </w:p>
    <w:p w14:paraId="2E19789D" w14:textId="77777777" w:rsidR="00232B31" w:rsidRDefault="00232B31" w:rsidP="00F7348F">
      <w:pPr>
        <w:pStyle w:val="Blockquote"/>
        <w:ind w:left="720" w:right="1080"/>
        <w:outlineLvl w:val="0"/>
        <w:rPr>
          <w:rFonts w:ascii="Arial" w:hAnsi="Arial"/>
          <w:color w:val="000000"/>
        </w:rPr>
      </w:pPr>
    </w:p>
    <w:p w14:paraId="2234D968" w14:textId="77777777" w:rsidR="00232B31" w:rsidRPr="00232B31" w:rsidRDefault="00232B31" w:rsidP="00F7348F">
      <w:pPr>
        <w:pStyle w:val="Blockquote"/>
        <w:ind w:left="720" w:right="1080"/>
        <w:outlineLvl w:val="0"/>
        <w:rPr>
          <w:rFonts w:ascii="Arial" w:hAnsi="Arial"/>
          <w:color w:val="000000"/>
          <w:szCs w:val="24"/>
        </w:rPr>
      </w:pPr>
      <w:r>
        <w:rPr>
          <w:rFonts w:ascii="Arial" w:hAnsi="Arial"/>
          <w:b/>
          <w:i/>
          <w:color w:val="000000"/>
          <w:sz w:val="28"/>
          <w:szCs w:val="28"/>
        </w:rPr>
        <w:t xml:space="preserve">Other Property </w:t>
      </w:r>
      <w:r w:rsidRPr="00232B31">
        <w:rPr>
          <w:rFonts w:ascii="Arial" w:hAnsi="Arial"/>
          <w:color w:val="000000"/>
          <w:szCs w:val="24"/>
        </w:rPr>
        <w:t xml:space="preserve">means any tangible property other than money or </w:t>
      </w:r>
      <w:r>
        <w:rPr>
          <w:rFonts w:ascii="Arial" w:hAnsi="Arial"/>
          <w:color w:val="000000"/>
          <w:szCs w:val="24"/>
        </w:rPr>
        <w:t>s</w:t>
      </w:r>
      <w:r w:rsidRPr="00232B31">
        <w:rPr>
          <w:rFonts w:ascii="Arial" w:hAnsi="Arial"/>
          <w:color w:val="000000"/>
          <w:szCs w:val="24"/>
        </w:rPr>
        <w:t>ecurities</w:t>
      </w:r>
      <w:r>
        <w:rPr>
          <w:rFonts w:ascii="Arial" w:hAnsi="Arial"/>
          <w:color w:val="000000"/>
          <w:szCs w:val="24"/>
        </w:rPr>
        <w:t xml:space="preserve"> that has intrinsic value</w:t>
      </w:r>
      <w:r w:rsidRPr="00232B31">
        <w:rPr>
          <w:rFonts w:ascii="Arial" w:hAnsi="Arial"/>
          <w:color w:val="000000"/>
          <w:szCs w:val="24"/>
        </w:rPr>
        <w:t xml:space="preserve">. </w:t>
      </w:r>
    </w:p>
    <w:p w14:paraId="6085315D" w14:textId="77777777" w:rsidR="00232B31" w:rsidRPr="00232B31" w:rsidRDefault="00232B31" w:rsidP="00F7348F">
      <w:pPr>
        <w:ind w:left="720"/>
        <w:rPr>
          <w:rFonts w:ascii="Arial" w:hAnsi="Arial"/>
          <w:szCs w:val="24"/>
        </w:rPr>
      </w:pPr>
      <w:r w:rsidRPr="00232B31">
        <w:rPr>
          <w:rFonts w:ascii="Arial" w:hAnsi="Arial"/>
          <w:b/>
          <w:i/>
          <w:sz w:val="32"/>
        </w:rPr>
        <w:t xml:space="preserve">Premises </w:t>
      </w:r>
      <w:r w:rsidRPr="00232B31">
        <w:rPr>
          <w:rFonts w:ascii="Arial" w:hAnsi="Arial"/>
          <w:szCs w:val="24"/>
        </w:rPr>
        <w:t>means the interior of that portion of any building that the state or university system occupies in conducting its business.</w:t>
      </w:r>
    </w:p>
    <w:p w14:paraId="70C39AAB" w14:textId="77777777" w:rsidR="005D0467" w:rsidRDefault="005D0467" w:rsidP="00F7348F">
      <w:pPr>
        <w:ind w:left="720"/>
      </w:pPr>
      <w:r>
        <w:rPr>
          <w:rFonts w:ascii="Arial" w:hAnsi="Arial"/>
          <w:b/>
          <w:i/>
          <w:sz w:val="28"/>
        </w:rPr>
        <w:t xml:space="preserve">Property Other Than Money &amp; </w:t>
      </w:r>
      <w:r w:rsidRPr="00F7348F">
        <w:rPr>
          <w:rFonts w:ascii="Arial" w:hAnsi="Arial" w:cs="Arial"/>
          <w:b/>
          <w:i/>
          <w:sz w:val="28"/>
        </w:rPr>
        <w:t xml:space="preserve">Securities </w:t>
      </w:r>
      <w:r w:rsidRPr="00F7348F">
        <w:rPr>
          <w:rFonts w:ascii="Arial" w:hAnsi="Arial" w:cs="Arial"/>
        </w:rPr>
        <w:t>means tangible</w:t>
      </w:r>
      <w:r>
        <w:rPr>
          <w:rFonts w:ascii="Arial" w:hAnsi="Arial"/>
        </w:rPr>
        <w:t xml:space="preserve"> property that has intrinsic value that is not excluded under the state’s policy</w:t>
      </w:r>
      <w:r>
        <w:t>.</w:t>
      </w:r>
    </w:p>
    <w:p w14:paraId="1B1182D1" w14:textId="77777777" w:rsidR="005D0467" w:rsidRDefault="005D0467" w:rsidP="00F7348F">
      <w:pPr>
        <w:ind w:left="720"/>
        <w:rPr>
          <w:rFonts w:ascii="Arial" w:hAnsi="Arial"/>
          <w:b/>
          <w:sz w:val="28"/>
        </w:rPr>
      </w:pPr>
      <w:r>
        <w:rPr>
          <w:rFonts w:ascii="Arial" w:hAnsi="Arial"/>
          <w:b/>
          <w:i/>
          <w:sz w:val="28"/>
        </w:rPr>
        <w:t>Securities</w:t>
      </w:r>
      <w:r>
        <w:rPr>
          <w:rFonts w:ascii="Arial" w:hAnsi="Arial"/>
          <w:b/>
          <w:i/>
        </w:rPr>
        <w:t xml:space="preserve"> </w:t>
      </w:r>
      <w:r>
        <w:rPr>
          <w:rFonts w:ascii="Arial" w:hAnsi="Arial"/>
        </w:rPr>
        <w:t>mean</w:t>
      </w:r>
      <w:r w:rsidR="00BB6E3B">
        <w:rPr>
          <w:rFonts w:ascii="Arial" w:hAnsi="Arial"/>
        </w:rPr>
        <w:t>s</w:t>
      </w:r>
      <w:r>
        <w:rPr>
          <w:rFonts w:ascii="Arial" w:hAnsi="Arial"/>
        </w:rPr>
        <w:t xml:space="preserve"> </w:t>
      </w:r>
      <w:r w:rsidR="00232B31">
        <w:rPr>
          <w:rFonts w:ascii="Arial" w:hAnsi="Arial"/>
        </w:rPr>
        <w:t xml:space="preserve">written </w:t>
      </w:r>
      <w:r>
        <w:rPr>
          <w:rFonts w:ascii="Arial" w:hAnsi="Arial"/>
        </w:rPr>
        <w:t>negotiable and non-negotiable instruments</w:t>
      </w:r>
      <w:r w:rsidR="00232B31">
        <w:rPr>
          <w:rFonts w:ascii="Arial" w:hAnsi="Arial"/>
        </w:rPr>
        <w:t xml:space="preserve"> representing money or property including tokens, </w:t>
      </w:r>
      <w:r>
        <w:rPr>
          <w:rFonts w:ascii="Arial" w:hAnsi="Arial"/>
        </w:rPr>
        <w:t>tickets, revenue and other stamps in current use, evidences of debt issued in connection with credit or charge cards not issued by the state.</w:t>
      </w:r>
    </w:p>
    <w:p w14:paraId="09D44699" w14:textId="77777777" w:rsidR="005D0467" w:rsidRDefault="005D0467" w:rsidP="00F7348F">
      <w:pPr>
        <w:tabs>
          <w:tab w:val="left" w:pos="-1440"/>
        </w:tabs>
        <w:ind w:left="720"/>
        <w:rPr>
          <w:rFonts w:ascii="Arial" w:hAnsi="Arial"/>
          <w:b/>
        </w:rPr>
      </w:pPr>
      <w:r w:rsidRPr="00F7348F">
        <w:rPr>
          <w:rFonts w:ascii="Arial" w:hAnsi="Arial"/>
          <w:b/>
          <w:i/>
          <w:color w:val="000000"/>
          <w:sz w:val="28"/>
          <w:szCs w:val="28"/>
        </w:rPr>
        <w:t>State</w:t>
      </w:r>
      <w:r>
        <w:rPr>
          <w:rFonts w:ascii="Arial" w:hAnsi="Arial"/>
          <w:b/>
          <w:i/>
          <w:color w:val="000000"/>
        </w:rPr>
        <w:t xml:space="preserve"> </w:t>
      </w:r>
      <w:r>
        <w:rPr>
          <w:rFonts w:ascii="Arial" w:hAnsi="Arial"/>
          <w:color w:val="000000"/>
        </w:rPr>
        <w:t>means</w:t>
      </w:r>
      <w:r>
        <w:rPr>
          <w:rFonts w:ascii="Arial" w:hAnsi="Arial"/>
        </w:rPr>
        <w:t xml:space="preserve"> the State of </w:t>
      </w:r>
      <w:smartTag w:uri="urn:schemas-microsoft-com:office:smarttags" w:element="place">
        <w:smartTag w:uri="urn:schemas-microsoft-com:office:smarttags" w:element="State">
          <w:r>
            <w:rPr>
              <w:rFonts w:ascii="Arial" w:hAnsi="Arial"/>
            </w:rPr>
            <w:t>Montana</w:t>
          </w:r>
        </w:smartTag>
      </w:smartTag>
      <w:r>
        <w:rPr>
          <w:rFonts w:ascii="Arial" w:hAnsi="Arial"/>
        </w:rPr>
        <w:t xml:space="preserve"> or any office, department, agency, authority, commission, board, institution, hospital, college, university, or other instrumentality thereof.  </w:t>
      </w:r>
    </w:p>
    <w:p w14:paraId="2FA517AD" w14:textId="77777777" w:rsidR="00BB6E3B" w:rsidRDefault="00BB6E3B" w:rsidP="00234AD4">
      <w:pPr>
        <w:pStyle w:val="Blockquote"/>
        <w:ind w:left="720" w:right="720"/>
        <w:jc w:val="both"/>
        <w:rPr>
          <w:rStyle w:val="HTMLMarkup"/>
          <w:rFonts w:ascii="Arial" w:hAnsi="Arial" w:cs="Arial"/>
          <w:b/>
          <w:bCs/>
          <w:vanish w:val="0"/>
          <w:color w:val="000000"/>
          <w:sz w:val="28"/>
          <w:szCs w:val="28"/>
        </w:rPr>
      </w:pPr>
      <w:bookmarkStart w:id="3" w:name="III"/>
    </w:p>
    <w:p w14:paraId="6B8A153F" w14:textId="77777777" w:rsidR="005D0467" w:rsidRPr="00234AD4" w:rsidRDefault="005D0467" w:rsidP="00234AD4">
      <w:pPr>
        <w:pStyle w:val="Blockquote"/>
        <w:ind w:left="720" w:right="720"/>
        <w:jc w:val="both"/>
        <w:rPr>
          <w:rFonts w:ascii="Arial" w:hAnsi="Arial"/>
          <w:b/>
          <w:bCs/>
          <w:color w:val="000000"/>
          <w:sz w:val="28"/>
        </w:rPr>
      </w:pPr>
      <w:r w:rsidRPr="00234AD4">
        <w:rPr>
          <w:rStyle w:val="HTMLMarkup"/>
          <w:rFonts w:ascii="Arial" w:hAnsi="Arial" w:cs="Arial"/>
          <w:b/>
          <w:bCs/>
          <w:vanish w:val="0"/>
          <w:color w:val="000000"/>
          <w:sz w:val="28"/>
          <w:szCs w:val="28"/>
        </w:rPr>
        <w:t xml:space="preserve">III.  </w:t>
      </w:r>
      <w:r w:rsidRPr="00234AD4">
        <w:rPr>
          <w:rFonts w:ascii="Arial" w:hAnsi="Arial"/>
          <w:b/>
          <w:bCs/>
          <w:color w:val="000000"/>
          <w:sz w:val="28"/>
        </w:rPr>
        <w:t>INSURING AGREEMENT</w:t>
      </w:r>
    </w:p>
    <w:bookmarkEnd w:id="3"/>
    <w:p w14:paraId="2B5E0414" w14:textId="77777777" w:rsidR="005D0467" w:rsidRDefault="005D0467">
      <w:pPr>
        <w:pStyle w:val="Blockquote"/>
        <w:ind w:left="720" w:right="720"/>
        <w:jc w:val="both"/>
        <w:outlineLvl w:val="0"/>
        <w:rPr>
          <w:rFonts w:ascii="Arial" w:hAnsi="Arial"/>
        </w:rPr>
      </w:pPr>
      <w:r>
        <w:rPr>
          <w:rFonts w:ascii="Arial" w:hAnsi="Arial"/>
        </w:rPr>
        <w:t>Subject to the terms, conditions, and exclusions specified in statute (§2-9-101, MCA through §2-9-305, MCA) and in the state’s crime policy</w:t>
      </w:r>
      <w:r w:rsidR="003D3B3C">
        <w:rPr>
          <w:rFonts w:ascii="Arial" w:hAnsi="Arial"/>
        </w:rPr>
        <w:t>.</w:t>
      </w:r>
      <w:r>
        <w:rPr>
          <w:rFonts w:ascii="Arial" w:hAnsi="Arial"/>
        </w:rPr>
        <w:t xml:space="preserve"> </w:t>
      </w:r>
      <w:r w:rsidR="00BB6E3B">
        <w:rPr>
          <w:rFonts w:ascii="Arial" w:hAnsi="Arial"/>
        </w:rPr>
        <w:t>This p</w:t>
      </w:r>
      <w:r w:rsidR="0016434B" w:rsidRPr="0016434B">
        <w:rPr>
          <w:rFonts w:ascii="Arial" w:hAnsi="Arial"/>
        </w:rPr>
        <w:t xml:space="preserve">olicy applies to insured property </w:t>
      </w:r>
      <w:r w:rsidR="00BB6E3B">
        <w:rPr>
          <w:rFonts w:ascii="Arial" w:hAnsi="Arial"/>
        </w:rPr>
        <w:t>anywhere in the world</w:t>
      </w:r>
      <w:r w:rsidR="00291AC0" w:rsidRPr="00291AC0">
        <w:rPr>
          <w:rFonts w:ascii="Arial" w:hAnsi="Arial"/>
        </w:rPr>
        <w:t>.</w:t>
      </w:r>
    </w:p>
    <w:p w14:paraId="50CF4636" w14:textId="77777777" w:rsidR="00BB6E3B" w:rsidRDefault="00BB6E3B">
      <w:pPr>
        <w:pStyle w:val="Blockquote"/>
        <w:ind w:left="720" w:right="720"/>
        <w:jc w:val="both"/>
        <w:outlineLvl w:val="0"/>
        <w:rPr>
          <w:rFonts w:ascii="Arial" w:hAnsi="Arial"/>
          <w:b/>
          <w:sz w:val="28"/>
        </w:rPr>
      </w:pPr>
      <w:bookmarkStart w:id="4" w:name="IV"/>
    </w:p>
    <w:p w14:paraId="3AC56261" w14:textId="77777777" w:rsidR="005D0467" w:rsidRDefault="005D0467">
      <w:pPr>
        <w:pStyle w:val="Blockquote"/>
        <w:ind w:left="720" w:right="720"/>
        <w:jc w:val="both"/>
        <w:outlineLvl w:val="0"/>
        <w:rPr>
          <w:rFonts w:ascii="Arial" w:hAnsi="Arial"/>
          <w:b/>
          <w:sz w:val="28"/>
        </w:rPr>
      </w:pPr>
      <w:r>
        <w:rPr>
          <w:rFonts w:ascii="Arial" w:hAnsi="Arial"/>
          <w:b/>
          <w:sz w:val="28"/>
        </w:rPr>
        <w:t>IV.</w:t>
      </w:r>
      <w:r>
        <w:rPr>
          <w:rFonts w:ascii="Arial" w:hAnsi="Arial"/>
          <w:b/>
          <w:sz w:val="28"/>
        </w:rPr>
        <w:tab/>
        <w:t>EXTENSIONS OF COVERAGE</w:t>
      </w:r>
    </w:p>
    <w:bookmarkEnd w:id="4"/>
    <w:p w14:paraId="415BF822" w14:textId="77777777" w:rsidR="005D0467" w:rsidRDefault="005D0467">
      <w:pPr>
        <w:pStyle w:val="Blockquote"/>
        <w:ind w:left="720" w:right="720"/>
        <w:jc w:val="both"/>
        <w:outlineLvl w:val="0"/>
        <w:rPr>
          <w:rFonts w:ascii="Arial" w:hAnsi="Arial"/>
        </w:rPr>
      </w:pPr>
      <w:r>
        <w:rPr>
          <w:rFonts w:ascii="Arial" w:hAnsi="Arial"/>
        </w:rPr>
        <w:t>The state’s policy is extended to cover:</w:t>
      </w:r>
    </w:p>
    <w:p w14:paraId="004B027A" w14:textId="77777777" w:rsidR="005D0467" w:rsidRDefault="005D0467">
      <w:pPr>
        <w:pStyle w:val="Header"/>
        <w:tabs>
          <w:tab w:val="clear" w:pos="4320"/>
          <w:tab w:val="clear" w:pos="8640"/>
        </w:tabs>
        <w:rPr>
          <w:rFonts w:ascii="Arial" w:hAnsi="Arial"/>
        </w:rPr>
      </w:pPr>
    </w:p>
    <w:p w14:paraId="58AAB8CB" w14:textId="77777777" w:rsidR="005D0467" w:rsidRDefault="00F613A7" w:rsidP="005D0467">
      <w:pPr>
        <w:pStyle w:val="Header"/>
        <w:numPr>
          <w:ilvl w:val="0"/>
          <w:numId w:val="6"/>
        </w:numPr>
        <w:tabs>
          <w:tab w:val="clear" w:pos="360"/>
          <w:tab w:val="clear" w:pos="4320"/>
          <w:tab w:val="clear" w:pos="8640"/>
          <w:tab w:val="num" w:pos="1080"/>
        </w:tabs>
        <w:ind w:left="1080"/>
        <w:rPr>
          <w:rFonts w:ascii="Arial" w:hAnsi="Arial"/>
        </w:rPr>
      </w:pPr>
      <w:r>
        <w:rPr>
          <w:rFonts w:ascii="Arial" w:hAnsi="Arial"/>
        </w:rPr>
        <w:t>Losses arising from dishonest acts of state employees, university employees, or employees of other organization</w:t>
      </w:r>
      <w:r w:rsidR="004C7716">
        <w:rPr>
          <w:rFonts w:ascii="Arial" w:hAnsi="Arial"/>
        </w:rPr>
        <w:t>s</w:t>
      </w:r>
      <w:r>
        <w:rPr>
          <w:rFonts w:ascii="Arial" w:hAnsi="Arial"/>
        </w:rPr>
        <w:t xml:space="preserve"> who are temporarily furnished to a state agency or university. The state’s insurance covers money, securities, and other property</w:t>
      </w:r>
      <w:r w:rsidR="005D0467">
        <w:rPr>
          <w:rFonts w:ascii="Arial" w:hAnsi="Arial"/>
        </w:rPr>
        <w:t xml:space="preserve">.  Coverage is </w:t>
      </w:r>
      <w:r>
        <w:rPr>
          <w:rFonts w:ascii="Arial" w:hAnsi="Arial"/>
        </w:rPr>
        <w:t xml:space="preserve">also </w:t>
      </w:r>
      <w:r w:rsidR="005D0467">
        <w:rPr>
          <w:rFonts w:ascii="Arial" w:hAnsi="Arial"/>
        </w:rPr>
        <w:t>extended to includ</w:t>
      </w:r>
      <w:r>
        <w:rPr>
          <w:rFonts w:ascii="Arial" w:hAnsi="Arial"/>
        </w:rPr>
        <w:t>e</w:t>
      </w:r>
      <w:r w:rsidR="005D0467">
        <w:rPr>
          <w:rFonts w:ascii="Arial" w:hAnsi="Arial"/>
        </w:rPr>
        <w:t xml:space="preserve"> </w:t>
      </w:r>
      <w:r>
        <w:rPr>
          <w:rFonts w:ascii="Arial" w:hAnsi="Arial"/>
        </w:rPr>
        <w:t>f</w:t>
      </w:r>
      <w:r w:rsidR="005D0467">
        <w:rPr>
          <w:rFonts w:ascii="Arial" w:hAnsi="Arial"/>
        </w:rPr>
        <w:t xml:space="preserve">aithful </w:t>
      </w:r>
      <w:r>
        <w:rPr>
          <w:rFonts w:ascii="Arial" w:hAnsi="Arial"/>
        </w:rPr>
        <w:t>p</w:t>
      </w:r>
      <w:r w:rsidR="005D0467">
        <w:rPr>
          <w:rFonts w:ascii="Arial" w:hAnsi="Arial"/>
        </w:rPr>
        <w:t xml:space="preserve">erformance of </w:t>
      </w:r>
      <w:r>
        <w:rPr>
          <w:rFonts w:ascii="Arial" w:hAnsi="Arial"/>
        </w:rPr>
        <w:t>d</w:t>
      </w:r>
      <w:r w:rsidR="005D0467">
        <w:rPr>
          <w:rFonts w:ascii="Arial" w:hAnsi="Arial"/>
        </w:rPr>
        <w:t>uty.</w:t>
      </w:r>
    </w:p>
    <w:p w14:paraId="28801F9D" w14:textId="77777777" w:rsidR="005D0467" w:rsidRDefault="005D0467">
      <w:pPr>
        <w:pStyle w:val="Header"/>
        <w:tabs>
          <w:tab w:val="clear" w:pos="4320"/>
          <w:tab w:val="clear" w:pos="8640"/>
        </w:tabs>
        <w:rPr>
          <w:rFonts w:ascii="Arial" w:hAnsi="Arial"/>
        </w:rPr>
      </w:pPr>
    </w:p>
    <w:p w14:paraId="5649800F" w14:textId="77777777" w:rsidR="005D0467" w:rsidRDefault="005D0467" w:rsidP="005D0467">
      <w:pPr>
        <w:pStyle w:val="Header"/>
        <w:numPr>
          <w:ilvl w:val="0"/>
          <w:numId w:val="6"/>
        </w:numPr>
        <w:tabs>
          <w:tab w:val="clear" w:pos="360"/>
          <w:tab w:val="clear" w:pos="4320"/>
          <w:tab w:val="clear" w:pos="8640"/>
          <w:tab w:val="num" w:pos="1080"/>
        </w:tabs>
        <w:ind w:left="1080"/>
        <w:rPr>
          <w:rFonts w:ascii="Arial" w:hAnsi="Arial"/>
        </w:rPr>
      </w:pPr>
      <w:r>
        <w:rPr>
          <w:rFonts w:ascii="Arial" w:hAnsi="Arial"/>
        </w:rPr>
        <w:t xml:space="preserve">Forgery or </w:t>
      </w:r>
      <w:r w:rsidR="00F613A7">
        <w:rPr>
          <w:rFonts w:ascii="Arial" w:hAnsi="Arial"/>
        </w:rPr>
        <w:t>a</w:t>
      </w:r>
      <w:r>
        <w:rPr>
          <w:rFonts w:ascii="Arial" w:hAnsi="Arial"/>
        </w:rPr>
        <w:t xml:space="preserve">lteration </w:t>
      </w:r>
      <w:r w:rsidR="00F613A7">
        <w:rPr>
          <w:rFonts w:ascii="Arial" w:hAnsi="Arial"/>
        </w:rPr>
        <w:t xml:space="preserve">of </w:t>
      </w:r>
      <w:r>
        <w:rPr>
          <w:rFonts w:ascii="Arial" w:hAnsi="Arial"/>
        </w:rPr>
        <w:t>checks, drafts, promissory notes</w:t>
      </w:r>
      <w:r w:rsidR="00F613A7">
        <w:rPr>
          <w:rFonts w:ascii="Arial" w:hAnsi="Arial"/>
        </w:rPr>
        <w:t>, bills of exchange,</w:t>
      </w:r>
      <w:r>
        <w:rPr>
          <w:rFonts w:ascii="Arial" w:hAnsi="Arial"/>
        </w:rPr>
        <w:t xml:space="preserve"> or similar written promises, orders</w:t>
      </w:r>
      <w:r w:rsidR="00F613A7">
        <w:rPr>
          <w:rFonts w:ascii="Arial" w:hAnsi="Arial"/>
        </w:rPr>
        <w:t>,</w:t>
      </w:r>
      <w:r>
        <w:rPr>
          <w:rFonts w:ascii="Arial" w:hAnsi="Arial"/>
        </w:rPr>
        <w:t xml:space="preserve"> or directions.</w:t>
      </w:r>
    </w:p>
    <w:p w14:paraId="5CC297DD" w14:textId="77777777" w:rsidR="005D0467" w:rsidRDefault="005D0467">
      <w:pPr>
        <w:pStyle w:val="Header"/>
        <w:tabs>
          <w:tab w:val="clear" w:pos="4320"/>
          <w:tab w:val="clear" w:pos="8640"/>
        </w:tabs>
        <w:rPr>
          <w:rFonts w:ascii="Arial" w:hAnsi="Arial"/>
        </w:rPr>
      </w:pPr>
    </w:p>
    <w:p w14:paraId="3048E003" w14:textId="77777777" w:rsidR="00F613A7" w:rsidRDefault="005D0467" w:rsidP="005D0467">
      <w:pPr>
        <w:pStyle w:val="Header"/>
        <w:numPr>
          <w:ilvl w:val="0"/>
          <w:numId w:val="6"/>
        </w:numPr>
        <w:tabs>
          <w:tab w:val="clear" w:pos="360"/>
          <w:tab w:val="clear" w:pos="4320"/>
          <w:tab w:val="clear" w:pos="8640"/>
          <w:tab w:val="num" w:pos="1080"/>
        </w:tabs>
        <w:ind w:left="1080"/>
        <w:rPr>
          <w:rFonts w:ascii="Arial" w:hAnsi="Arial"/>
        </w:rPr>
      </w:pPr>
      <w:r>
        <w:rPr>
          <w:rFonts w:ascii="Arial" w:hAnsi="Arial"/>
        </w:rPr>
        <w:t xml:space="preserve">Theft, </w:t>
      </w:r>
      <w:r w:rsidR="00F613A7">
        <w:rPr>
          <w:rFonts w:ascii="Arial" w:hAnsi="Arial"/>
        </w:rPr>
        <w:t>damage, d</w:t>
      </w:r>
      <w:r>
        <w:rPr>
          <w:rFonts w:ascii="Arial" w:hAnsi="Arial"/>
        </w:rPr>
        <w:t xml:space="preserve">estruction, and </w:t>
      </w:r>
      <w:r w:rsidR="00F613A7">
        <w:rPr>
          <w:rFonts w:ascii="Arial" w:hAnsi="Arial"/>
        </w:rPr>
        <w:t>d</w:t>
      </w:r>
      <w:r>
        <w:rPr>
          <w:rFonts w:ascii="Arial" w:hAnsi="Arial"/>
        </w:rPr>
        <w:t>isappearance of money</w:t>
      </w:r>
      <w:r w:rsidR="00F613A7">
        <w:rPr>
          <w:rFonts w:ascii="Arial" w:hAnsi="Arial"/>
        </w:rPr>
        <w:t>,</w:t>
      </w:r>
      <w:r>
        <w:rPr>
          <w:rFonts w:ascii="Arial" w:hAnsi="Arial"/>
        </w:rPr>
        <w:t xml:space="preserve"> securities</w:t>
      </w:r>
      <w:r w:rsidR="00F613A7">
        <w:rPr>
          <w:rFonts w:ascii="Arial" w:hAnsi="Arial"/>
        </w:rPr>
        <w:t xml:space="preserve">, and other property on state or university </w:t>
      </w:r>
      <w:r>
        <w:rPr>
          <w:rFonts w:ascii="Arial" w:hAnsi="Arial"/>
        </w:rPr>
        <w:t>premises.</w:t>
      </w:r>
    </w:p>
    <w:p w14:paraId="76C6AE0D" w14:textId="77777777" w:rsidR="00F613A7" w:rsidRDefault="00F613A7" w:rsidP="00F613A7">
      <w:pPr>
        <w:pStyle w:val="Header"/>
        <w:tabs>
          <w:tab w:val="clear" w:pos="4320"/>
          <w:tab w:val="clear" w:pos="8640"/>
        </w:tabs>
        <w:ind w:left="1080"/>
        <w:rPr>
          <w:rFonts w:ascii="Arial" w:hAnsi="Arial"/>
        </w:rPr>
      </w:pPr>
    </w:p>
    <w:p w14:paraId="3F101631" w14:textId="77777777" w:rsidR="004C7716" w:rsidRDefault="00F613A7" w:rsidP="004C7716">
      <w:pPr>
        <w:pStyle w:val="Header"/>
        <w:numPr>
          <w:ilvl w:val="0"/>
          <w:numId w:val="6"/>
        </w:numPr>
        <w:tabs>
          <w:tab w:val="clear" w:pos="360"/>
          <w:tab w:val="clear" w:pos="4320"/>
          <w:tab w:val="clear" w:pos="8640"/>
          <w:tab w:val="num" w:pos="1080"/>
        </w:tabs>
        <w:ind w:left="1080"/>
        <w:rPr>
          <w:rFonts w:ascii="Arial" w:hAnsi="Arial"/>
        </w:rPr>
      </w:pPr>
      <w:r>
        <w:rPr>
          <w:rFonts w:ascii="Arial" w:hAnsi="Arial"/>
        </w:rPr>
        <w:lastRenderedPageBreak/>
        <w:t xml:space="preserve">Theft, damage, destruction, and disappearance of money, securities, and other property outside of state or university premises or in the custody of a messenger service or armored motor vehicle company. </w:t>
      </w:r>
      <w:r w:rsidR="005D0467">
        <w:rPr>
          <w:rFonts w:ascii="Arial" w:hAnsi="Arial"/>
        </w:rPr>
        <w:t xml:space="preserve"> </w:t>
      </w:r>
    </w:p>
    <w:p w14:paraId="67303E2C" w14:textId="77777777" w:rsidR="004C7716" w:rsidRDefault="004C7716" w:rsidP="004C7716">
      <w:pPr>
        <w:pStyle w:val="ListParagraph"/>
        <w:rPr>
          <w:rFonts w:ascii="Verdana" w:hAnsi="Verdana"/>
          <w:color w:val="FF0000"/>
          <w:sz w:val="19"/>
          <w:szCs w:val="19"/>
        </w:rPr>
      </w:pPr>
    </w:p>
    <w:p w14:paraId="40CE1F29" w14:textId="77777777" w:rsidR="004C7716" w:rsidRPr="001A7BF4" w:rsidRDefault="004C7716" w:rsidP="004C7716">
      <w:pPr>
        <w:pStyle w:val="Header"/>
        <w:numPr>
          <w:ilvl w:val="0"/>
          <w:numId w:val="6"/>
        </w:numPr>
        <w:tabs>
          <w:tab w:val="clear" w:pos="360"/>
          <w:tab w:val="clear" w:pos="4320"/>
          <w:tab w:val="clear" w:pos="8640"/>
          <w:tab w:val="num" w:pos="1080"/>
        </w:tabs>
        <w:ind w:left="1080"/>
        <w:rPr>
          <w:rFonts w:ascii="Arial" w:hAnsi="Arial" w:cs="Arial"/>
          <w:color w:val="000000"/>
          <w:szCs w:val="24"/>
        </w:rPr>
      </w:pPr>
      <w:r w:rsidRPr="001A7BF4">
        <w:rPr>
          <w:rFonts w:ascii="Arial" w:hAnsi="Arial" w:cs="Arial"/>
          <w:color w:val="000000"/>
          <w:szCs w:val="24"/>
        </w:rPr>
        <w:t xml:space="preserve">Direct loss or damage to money, securities, and other property caused by computer fraud. Reasonable expenses to restore or replace computer programs and/or electronic data. </w:t>
      </w:r>
    </w:p>
    <w:p w14:paraId="3E8E476E" w14:textId="77777777" w:rsidR="004C7716" w:rsidRPr="001A7BF4" w:rsidRDefault="004C7716" w:rsidP="004C7716">
      <w:pPr>
        <w:pStyle w:val="ListParagraph"/>
        <w:rPr>
          <w:rFonts w:ascii="Arial" w:hAnsi="Arial" w:cs="Arial"/>
          <w:color w:val="000000"/>
          <w:szCs w:val="24"/>
        </w:rPr>
      </w:pPr>
    </w:p>
    <w:p w14:paraId="73571123" w14:textId="77777777" w:rsidR="004C7716" w:rsidRPr="001A7BF4" w:rsidRDefault="004C7716" w:rsidP="004C7716">
      <w:pPr>
        <w:pStyle w:val="Header"/>
        <w:numPr>
          <w:ilvl w:val="0"/>
          <w:numId w:val="6"/>
        </w:numPr>
        <w:tabs>
          <w:tab w:val="clear" w:pos="360"/>
          <w:tab w:val="clear" w:pos="4320"/>
          <w:tab w:val="clear" w:pos="8640"/>
          <w:tab w:val="num" w:pos="1080"/>
        </w:tabs>
        <w:ind w:left="1080"/>
        <w:rPr>
          <w:rFonts w:ascii="Arial" w:hAnsi="Arial" w:cs="Arial"/>
          <w:color w:val="000000"/>
          <w:szCs w:val="24"/>
        </w:rPr>
      </w:pPr>
      <w:r w:rsidRPr="001A7BF4">
        <w:rPr>
          <w:rFonts w:ascii="Arial" w:hAnsi="Arial" w:cs="Arial"/>
          <w:color w:val="000000"/>
          <w:szCs w:val="24"/>
        </w:rPr>
        <w:t>Direct loss of money and/or securities caused by fund transfer fraud</w:t>
      </w:r>
    </w:p>
    <w:p w14:paraId="6E39652C" w14:textId="77777777" w:rsidR="004C7716" w:rsidRPr="001A7BF4" w:rsidRDefault="004C7716" w:rsidP="004C7716">
      <w:pPr>
        <w:pStyle w:val="Header"/>
        <w:tabs>
          <w:tab w:val="clear" w:pos="4320"/>
          <w:tab w:val="clear" w:pos="8640"/>
        </w:tabs>
        <w:ind w:left="1080"/>
        <w:rPr>
          <w:rFonts w:ascii="Arial" w:hAnsi="Arial" w:cs="Arial"/>
          <w:color w:val="000000"/>
          <w:szCs w:val="24"/>
        </w:rPr>
      </w:pPr>
    </w:p>
    <w:p w14:paraId="2AEB33C2" w14:textId="77777777" w:rsidR="004C7716" w:rsidRPr="001A7BF4" w:rsidRDefault="004C7716" w:rsidP="004C7716">
      <w:pPr>
        <w:pStyle w:val="Header"/>
        <w:numPr>
          <w:ilvl w:val="0"/>
          <w:numId w:val="6"/>
        </w:numPr>
        <w:tabs>
          <w:tab w:val="clear" w:pos="360"/>
          <w:tab w:val="clear" w:pos="4320"/>
          <w:tab w:val="clear" w:pos="8640"/>
          <w:tab w:val="num" w:pos="1080"/>
        </w:tabs>
        <w:ind w:left="1080"/>
        <w:rPr>
          <w:rFonts w:ascii="Arial" w:hAnsi="Arial" w:cs="Arial"/>
          <w:color w:val="000000"/>
          <w:szCs w:val="24"/>
        </w:rPr>
      </w:pPr>
      <w:r w:rsidRPr="001A7BF4">
        <w:rPr>
          <w:rFonts w:ascii="Arial" w:hAnsi="Arial" w:cs="Arial"/>
          <w:color w:val="000000"/>
          <w:szCs w:val="24"/>
        </w:rPr>
        <w:t>Identity theft reimbursement associated with fraudulent activity on personal accounts.</w:t>
      </w:r>
    </w:p>
    <w:p w14:paraId="1C2D6D2D" w14:textId="77777777" w:rsidR="004C7716" w:rsidRPr="001A7BF4" w:rsidRDefault="004C7716" w:rsidP="004C7716">
      <w:pPr>
        <w:pStyle w:val="Header"/>
        <w:tabs>
          <w:tab w:val="clear" w:pos="4320"/>
          <w:tab w:val="clear" w:pos="8640"/>
        </w:tabs>
        <w:ind w:left="1080"/>
        <w:rPr>
          <w:rFonts w:ascii="Arial" w:hAnsi="Arial" w:cs="Arial"/>
          <w:color w:val="000000"/>
          <w:szCs w:val="24"/>
        </w:rPr>
      </w:pPr>
    </w:p>
    <w:p w14:paraId="15C206B5" w14:textId="77777777" w:rsidR="004C7716" w:rsidRPr="001A7BF4" w:rsidRDefault="004C7716" w:rsidP="004C7716">
      <w:pPr>
        <w:pStyle w:val="Header"/>
        <w:numPr>
          <w:ilvl w:val="0"/>
          <w:numId w:val="6"/>
        </w:numPr>
        <w:tabs>
          <w:tab w:val="clear" w:pos="360"/>
          <w:tab w:val="clear" w:pos="4320"/>
          <w:tab w:val="clear" w:pos="8640"/>
          <w:tab w:val="num" w:pos="1080"/>
        </w:tabs>
        <w:ind w:left="1080"/>
        <w:rPr>
          <w:rFonts w:ascii="Arial" w:hAnsi="Arial" w:cs="Arial"/>
          <w:color w:val="000000"/>
          <w:szCs w:val="24"/>
        </w:rPr>
      </w:pPr>
      <w:r w:rsidRPr="001A7BF4">
        <w:rPr>
          <w:rFonts w:ascii="Arial" w:hAnsi="Arial" w:cs="Arial"/>
          <w:color w:val="000000"/>
          <w:szCs w:val="24"/>
        </w:rPr>
        <w:t>Expenses associated with preparing a claim.</w:t>
      </w:r>
    </w:p>
    <w:p w14:paraId="4F87F970" w14:textId="77777777" w:rsidR="004C7716" w:rsidRDefault="004C7716" w:rsidP="004C7716">
      <w:pPr>
        <w:pStyle w:val="Heading1"/>
        <w:numPr>
          <w:ilvl w:val="0"/>
          <w:numId w:val="0"/>
        </w:numPr>
        <w:rPr>
          <w:snapToGrid/>
          <w:color w:val="auto"/>
          <w:u w:val="none"/>
        </w:rPr>
      </w:pPr>
      <w:bookmarkStart w:id="5" w:name="V"/>
    </w:p>
    <w:bookmarkEnd w:id="5"/>
    <w:p w14:paraId="2E79138F" w14:textId="77777777" w:rsidR="003D3B3C" w:rsidRPr="00234AD4" w:rsidRDefault="003D3B3C" w:rsidP="003D3B3C">
      <w:pPr>
        <w:pStyle w:val="Blockquote"/>
        <w:ind w:left="720" w:right="720"/>
        <w:jc w:val="both"/>
        <w:rPr>
          <w:rFonts w:ascii="Arial" w:hAnsi="Arial"/>
          <w:b/>
          <w:bCs/>
          <w:color w:val="000000"/>
          <w:sz w:val="28"/>
        </w:rPr>
      </w:pPr>
      <w:r>
        <w:rPr>
          <w:rStyle w:val="HTMLMarkup"/>
          <w:rFonts w:ascii="Arial" w:hAnsi="Arial" w:cs="Arial"/>
          <w:b/>
          <w:bCs/>
          <w:vanish w:val="0"/>
          <w:color w:val="000000"/>
          <w:sz w:val="28"/>
          <w:szCs w:val="28"/>
        </w:rPr>
        <w:t>V</w:t>
      </w:r>
      <w:r w:rsidRPr="00234AD4">
        <w:rPr>
          <w:rStyle w:val="HTMLMarkup"/>
          <w:rFonts w:ascii="Arial" w:hAnsi="Arial" w:cs="Arial"/>
          <w:b/>
          <w:bCs/>
          <w:vanish w:val="0"/>
          <w:color w:val="000000"/>
          <w:sz w:val="28"/>
          <w:szCs w:val="28"/>
        </w:rPr>
        <w:t xml:space="preserve">.  </w:t>
      </w:r>
      <w:r>
        <w:rPr>
          <w:rFonts w:ascii="Arial" w:hAnsi="Arial"/>
          <w:b/>
          <w:bCs/>
          <w:color w:val="000000"/>
          <w:sz w:val="28"/>
        </w:rPr>
        <w:t>GENERAL EXCLUSIONS</w:t>
      </w:r>
    </w:p>
    <w:p w14:paraId="75F00E91" w14:textId="77777777" w:rsidR="005D0467" w:rsidRPr="004D1834" w:rsidRDefault="005D0467">
      <w:pPr>
        <w:pStyle w:val="Heading1"/>
        <w:numPr>
          <w:ilvl w:val="0"/>
          <w:numId w:val="0"/>
        </w:numPr>
        <w:ind w:left="720"/>
        <w:rPr>
          <w:b/>
          <w:sz w:val="16"/>
          <w:szCs w:val="16"/>
          <w:u w:val="none"/>
        </w:rPr>
      </w:pPr>
    </w:p>
    <w:p w14:paraId="156BC4AB" w14:textId="77777777"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bookmarkStart w:id="6" w:name="VI"/>
      <w:r w:rsidRPr="001A7BF4">
        <w:rPr>
          <w:rFonts w:ascii="Arial" w:hAnsi="Arial" w:cs="Arial"/>
          <w:snapToGrid/>
          <w:color w:val="000000"/>
          <w:szCs w:val="24"/>
        </w:rPr>
        <w:t>War, insurrection, rebellion, or revolution.</w:t>
      </w:r>
    </w:p>
    <w:p w14:paraId="62648E7D" w14:textId="77777777"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t>Seizure or destruction of property by a government authority.</w:t>
      </w:r>
    </w:p>
    <w:p w14:paraId="46BB3E5B" w14:textId="77777777"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t>Loss of income.</w:t>
      </w:r>
    </w:p>
    <w:p w14:paraId="185406F2" w14:textId="77777777"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t xml:space="preserve">Indirect or consequential loss including fines, penalties, multiples, or punitive damages. </w:t>
      </w:r>
    </w:p>
    <w:p w14:paraId="6A9B3C3E" w14:textId="77777777"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t xml:space="preserve">Loss or damage to microfilms, tapes, manuscripts, records, accounts, or other records whether written or electronic. </w:t>
      </w:r>
    </w:p>
    <w:p w14:paraId="6062F78E" w14:textId="77777777"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t xml:space="preserve">Loss of inventory or loss of profit. </w:t>
      </w:r>
    </w:p>
    <w:p w14:paraId="4FBFE50B" w14:textId="77777777"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t>Losses arising from fire, except damage to money, securities, and money vaults.</w:t>
      </w:r>
    </w:p>
    <w:p w14:paraId="0FC2A466" w14:textId="77777777"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t>Nuclear risks, radioactive contamination, or biological or chemical contamination.</w:t>
      </w:r>
    </w:p>
    <w:p w14:paraId="3929A8E2" w14:textId="77777777"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t>Kidnap, extortion, or ransom payments.</w:t>
      </w:r>
    </w:p>
    <w:p w14:paraId="0E40B90D" w14:textId="77777777"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t>Accounting or mathematical errors.</w:t>
      </w:r>
    </w:p>
    <w:p w14:paraId="6407DE1E" w14:textId="77777777"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t xml:space="preserve">Loss or damage from money operated devices. </w:t>
      </w:r>
    </w:p>
    <w:p w14:paraId="1CE12028" w14:textId="77777777"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lastRenderedPageBreak/>
        <w:t xml:space="preserve">Damage to property arising from vandalism or malicious mischief. </w:t>
      </w:r>
    </w:p>
    <w:p w14:paraId="039B70A8" w14:textId="77777777"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t>Diminution in the value of money, securities, or other property.</w:t>
      </w:r>
    </w:p>
    <w:p w14:paraId="7D3D9380" w14:textId="77777777"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t>Loss arising from debit or charge cards.</w:t>
      </w:r>
    </w:p>
    <w:p w14:paraId="3E5097BA" w14:textId="77777777" w:rsidR="004C7716" w:rsidRDefault="004C7716" w:rsidP="004C7716">
      <w:pPr>
        <w:pStyle w:val="Heading1"/>
        <w:numPr>
          <w:ilvl w:val="0"/>
          <w:numId w:val="0"/>
        </w:numPr>
        <w:ind w:left="1440"/>
        <w:rPr>
          <w:b/>
          <w:sz w:val="28"/>
          <w:u w:val="none"/>
        </w:rPr>
      </w:pPr>
    </w:p>
    <w:p w14:paraId="34D988B9" w14:textId="77777777" w:rsidR="005D0467" w:rsidRDefault="005D0467">
      <w:pPr>
        <w:pStyle w:val="Heading1"/>
        <w:numPr>
          <w:ilvl w:val="0"/>
          <w:numId w:val="10"/>
        </w:numPr>
        <w:rPr>
          <w:b/>
          <w:sz w:val="28"/>
          <w:u w:val="none"/>
        </w:rPr>
      </w:pPr>
      <w:r>
        <w:rPr>
          <w:b/>
          <w:sz w:val="28"/>
          <w:u w:val="none"/>
        </w:rPr>
        <w:t>PROGRAM REQUIREMENTS</w:t>
      </w:r>
    </w:p>
    <w:bookmarkEnd w:id="6"/>
    <w:p w14:paraId="185EE5FE" w14:textId="78E9B3FD" w:rsidR="005D0467" w:rsidRDefault="005D0467">
      <w:pPr>
        <w:numPr>
          <w:ilvl w:val="0"/>
          <w:numId w:val="2"/>
        </w:numPr>
        <w:rPr>
          <w:rFonts w:ascii="Arial" w:hAnsi="Arial"/>
        </w:rPr>
      </w:pPr>
      <w:r>
        <w:rPr>
          <w:rFonts w:ascii="Arial" w:hAnsi="Arial"/>
        </w:rPr>
        <w:t>State agencies</w:t>
      </w:r>
      <w:r w:rsidR="00881FBC">
        <w:rPr>
          <w:rFonts w:ascii="Arial" w:hAnsi="Arial"/>
        </w:rPr>
        <w:t xml:space="preserve"> and universities</w:t>
      </w:r>
      <w:r>
        <w:rPr>
          <w:rFonts w:ascii="Arial" w:hAnsi="Arial"/>
        </w:rPr>
        <w:t xml:space="preserve"> must notify the Risk Management &amp; Tort Defense Division of a claim or potential claim as soon as possible. </w:t>
      </w:r>
    </w:p>
    <w:p w14:paraId="0BAA1160" w14:textId="4C2E0964" w:rsidR="005D0467" w:rsidRDefault="005D0467">
      <w:pPr>
        <w:numPr>
          <w:ilvl w:val="0"/>
          <w:numId w:val="2"/>
        </w:numPr>
        <w:rPr>
          <w:rFonts w:ascii="Arial" w:hAnsi="Arial"/>
        </w:rPr>
      </w:pPr>
      <w:r>
        <w:rPr>
          <w:rFonts w:ascii="Arial" w:hAnsi="Arial"/>
        </w:rPr>
        <w:t>State agencies</w:t>
      </w:r>
      <w:r w:rsidR="00881FBC">
        <w:rPr>
          <w:rFonts w:ascii="Arial" w:hAnsi="Arial"/>
        </w:rPr>
        <w:t xml:space="preserve"> and universities</w:t>
      </w:r>
      <w:r>
        <w:rPr>
          <w:rFonts w:ascii="Arial" w:hAnsi="Arial"/>
        </w:rPr>
        <w:t xml:space="preserve"> must list number and type FTES they want insured by classification of FTE on the state Property/Casualty Insurance Information System and submit the</w:t>
      </w:r>
      <w:r w:rsidR="00360053">
        <w:rPr>
          <w:rFonts w:ascii="Arial" w:hAnsi="Arial"/>
        </w:rPr>
        <w:t xml:space="preserve"> report to the division by January</w:t>
      </w:r>
      <w:r>
        <w:rPr>
          <w:rFonts w:ascii="Arial" w:hAnsi="Arial"/>
        </w:rPr>
        <w:t xml:space="preserve"> 15</w:t>
      </w:r>
      <w:r>
        <w:rPr>
          <w:rFonts w:ascii="Arial" w:hAnsi="Arial"/>
          <w:vertAlign w:val="superscript"/>
        </w:rPr>
        <w:t>th</w:t>
      </w:r>
      <w:r>
        <w:rPr>
          <w:rFonts w:ascii="Arial" w:hAnsi="Arial"/>
        </w:rPr>
        <w:t xml:space="preserve"> of each fiscal year. Failure to accurately report FTEs may result in inadequate coverage.</w:t>
      </w:r>
    </w:p>
    <w:p w14:paraId="16694A06" w14:textId="77777777" w:rsidR="005D0467" w:rsidRDefault="005D0467">
      <w:pPr>
        <w:numPr>
          <w:ilvl w:val="0"/>
          <w:numId w:val="2"/>
        </w:numPr>
        <w:rPr>
          <w:rFonts w:ascii="Arial" w:hAnsi="Arial"/>
        </w:rPr>
      </w:pPr>
      <w:r>
        <w:rPr>
          <w:rFonts w:ascii="Arial" w:hAnsi="Arial"/>
        </w:rPr>
        <w:t>The Risk Management &amp; Tort Defense Division and participating carriers shall be subrogated to the state’s recovery against third parties. The state shall do nothing to prejudice such rights.</w:t>
      </w:r>
    </w:p>
    <w:p w14:paraId="604979DB" w14:textId="77777777" w:rsidR="005D0467" w:rsidRDefault="005D0467">
      <w:pPr>
        <w:numPr>
          <w:ilvl w:val="0"/>
          <w:numId w:val="2"/>
        </w:numPr>
        <w:rPr>
          <w:rFonts w:ascii="Arial" w:hAnsi="Arial"/>
        </w:rPr>
      </w:pPr>
      <w:r>
        <w:rPr>
          <w:rFonts w:ascii="Arial" w:hAnsi="Arial"/>
        </w:rPr>
        <w:t xml:space="preserve">The state’s policy may be cancelled with 30 </w:t>
      </w:r>
      <w:proofErr w:type="spellStart"/>
      <w:r>
        <w:rPr>
          <w:rFonts w:ascii="Arial" w:hAnsi="Arial"/>
        </w:rPr>
        <w:t>days notice</w:t>
      </w:r>
      <w:proofErr w:type="spellEnd"/>
      <w:r>
        <w:rPr>
          <w:rFonts w:ascii="Arial" w:hAnsi="Arial"/>
        </w:rPr>
        <w:t>. Should this occur, the Risk Management &amp; Tort Defense Division would secure coverage from other carriers.</w:t>
      </w:r>
    </w:p>
    <w:p w14:paraId="7DD4B0CE" w14:textId="77777777" w:rsidR="005D0467" w:rsidRDefault="005D0467">
      <w:pPr>
        <w:numPr>
          <w:ilvl w:val="0"/>
          <w:numId w:val="2"/>
        </w:numPr>
        <w:rPr>
          <w:rFonts w:ascii="Arial" w:hAnsi="Arial"/>
        </w:rPr>
      </w:pPr>
      <w:r>
        <w:rPr>
          <w:rFonts w:ascii="Arial" w:hAnsi="Arial"/>
        </w:rPr>
        <w:t xml:space="preserve">The state’s policy may be void if the state has concealed or misrepresented material facts or circumstances. </w:t>
      </w:r>
    </w:p>
    <w:p w14:paraId="638FBE67" w14:textId="77777777" w:rsidR="005D0467" w:rsidRDefault="005D0467">
      <w:pPr>
        <w:pStyle w:val="Blockquote"/>
        <w:ind w:left="720"/>
        <w:jc w:val="both"/>
        <w:outlineLvl w:val="0"/>
        <w:rPr>
          <w:color w:val="000000"/>
          <w:sz w:val="28"/>
        </w:rPr>
      </w:pPr>
      <w:bookmarkStart w:id="7" w:name="VII"/>
      <w:r>
        <w:rPr>
          <w:rFonts w:ascii="Arial" w:hAnsi="Arial"/>
          <w:b/>
          <w:color w:val="000000"/>
          <w:sz w:val="28"/>
        </w:rPr>
        <w:t>VII.</w:t>
      </w:r>
      <w:r>
        <w:rPr>
          <w:rFonts w:ascii="Arial" w:hAnsi="Arial"/>
          <w:b/>
          <w:color w:val="000000"/>
          <w:sz w:val="28"/>
        </w:rPr>
        <w:tab/>
        <w:t>SPECIAL SERVICES</w:t>
      </w:r>
    </w:p>
    <w:bookmarkEnd w:id="7"/>
    <w:p w14:paraId="1C886118" w14:textId="73F0663B" w:rsidR="005D0467" w:rsidRDefault="005D0467">
      <w:pPr>
        <w:pStyle w:val="Blockquote"/>
        <w:numPr>
          <w:ilvl w:val="0"/>
          <w:numId w:val="5"/>
        </w:numPr>
        <w:ind w:right="720"/>
        <w:outlineLvl w:val="0"/>
        <w:rPr>
          <w:rFonts w:ascii="Arial" w:hAnsi="Arial"/>
          <w:b/>
          <w:color w:val="000000"/>
          <w:sz w:val="28"/>
        </w:rPr>
      </w:pPr>
      <w:r>
        <w:rPr>
          <w:rFonts w:ascii="Arial" w:hAnsi="Arial"/>
          <w:color w:val="000000"/>
        </w:rPr>
        <w:t>State agencies</w:t>
      </w:r>
      <w:r w:rsidR="00881FBC">
        <w:rPr>
          <w:rFonts w:ascii="Arial" w:hAnsi="Arial"/>
          <w:color w:val="000000"/>
        </w:rPr>
        <w:t xml:space="preserve"> and universities</w:t>
      </w:r>
      <w:r>
        <w:rPr>
          <w:rFonts w:ascii="Arial" w:hAnsi="Arial"/>
          <w:color w:val="000000"/>
        </w:rPr>
        <w:t xml:space="preserve"> that need coverage for theft of cash, securities, or other assets by third parties (not state employees) and not mentioned above are encouraged to contact the Risk Management &amp; Tort Defense Division. The division or its brokers may be able to form a plan of self-insurance to assist your agency</w:t>
      </w:r>
      <w:r w:rsidR="00881FBC">
        <w:rPr>
          <w:rFonts w:ascii="Arial" w:hAnsi="Arial"/>
          <w:color w:val="000000"/>
        </w:rPr>
        <w:t xml:space="preserve"> or university</w:t>
      </w:r>
      <w:r>
        <w:rPr>
          <w:rFonts w:ascii="Arial" w:hAnsi="Arial"/>
          <w:color w:val="000000"/>
        </w:rPr>
        <w:t>. Any plan must be consistent with §2-9-201, MCA. The division may have to obtain legislative approval for the plan. The division may be able to obtain commercial insurance to meet your needs.</w:t>
      </w:r>
    </w:p>
    <w:p w14:paraId="370189DF" w14:textId="77777777" w:rsidR="005D0467" w:rsidRPr="00234AD4" w:rsidRDefault="005D0467">
      <w:pPr>
        <w:pStyle w:val="Blockquote"/>
        <w:numPr>
          <w:ilvl w:val="0"/>
          <w:numId w:val="5"/>
        </w:numPr>
        <w:ind w:right="720"/>
        <w:outlineLvl w:val="0"/>
        <w:rPr>
          <w:rFonts w:ascii="Arial" w:hAnsi="Arial"/>
          <w:b/>
          <w:color w:val="000000"/>
          <w:sz w:val="28"/>
        </w:rPr>
      </w:pPr>
      <w:r>
        <w:rPr>
          <w:rFonts w:ascii="Arial" w:hAnsi="Arial"/>
          <w:color w:val="000000"/>
        </w:rPr>
        <w:t>The Risk Management &amp; Tort Defense Division may be able to help you develop a risk control plan that will remove or reduce your need for coverage.</w:t>
      </w:r>
    </w:p>
    <w:p w14:paraId="5112F3AC" w14:textId="77777777" w:rsidR="005D0467" w:rsidRDefault="005D0467">
      <w:pPr>
        <w:pStyle w:val="Heading3"/>
        <w:rPr>
          <w:rFonts w:ascii="Arial" w:hAnsi="Arial"/>
        </w:rPr>
      </w:pPr>
      <w:bookmarkStart w:id="8" w:name="VIII"/>
      <w:r>
        <w:rPr>
          <w:rFonts w:ascii="Arial" w:hAnsi="Arial"/>
        </w:rPr>
        <w:t>VIII.</w:t>
      </w:r>
      <w:r>
        <w:rPr>
          <w:rFonts w:ascii="Arial" w:hAnsi="Arial"/>
        </w:rPr>
        <w:tab/>
        <w:t>REPORTING LOSSES</w:t>
      </w:r>
    </w:p>
    <w:bookmarkEnd w:id="8"/>
    <w:p w14:paraId="5F1AE825" w14:textId="6F7F95C5" w:rsidR="005D0467" w:rsidRDefault="005D0467">
      <w:pPr>
        <w:pStyle w:val="Blockquote"/>
        <w:ind w:left="720" w:right="1080"/>
        <w:outlineLvl w:val="0"/>
        <w:rPr>
          <w:rFonts w:ascii="Arial" w:hAnsi="Arial"/>
          <w:color w:val="000000"/>
        </w:rPr>
      </w:pPr>
      <w:r>
        <w:rPr>
          <w:rFonts w:ascii="Arial" w:hAnsi="Arial"/>
          <w:color w:val="000000"/>
        </w:rPr>
        <w:t xml:space="preserve">The </w:t>
      </w:r>
      <w:r>
        <w:rPr>
          <w:rFonts w:ascii="Arial" w:hAnsi="Arial"/>
          <w:b/>
          <w:i/>
          <w:color w:val="000000"/>
        </w:rPr>
        <w:t xml:space="preserve">State </w:t>
      </w:r>
      <w:r>
        <w:rPr>
          <w:rFonts w:ascii="Arial" w:hAnsi="Arial"/>
          <w:color w:val="000000"/>
        </w:rPr>
        <w:t>Report</w:t>
      </w:r>
      <w:r>
        <w:rPr>
          <w:rFonts w:ascii="Arial" w:hAnsi="Arial"/>
          <w:b/>
          <w:i/>
          <w:color w:val="000000"/>
        </w:rPr>
        <w:t xml:space="preserve"> of Incident Form</w:t>
      </w:r>
      <w:r>
        <w:rPr>
          <w:rFonts w:ascii="Arial" w:hAnsi="Arial"/>
          <w:color w:val="000000"/>
        </w:rPr>
        <w:t xml:space="preserve"> should be used.</w:t>
      </w:r>
      <w:r>
        <w:rPr>
          <w:rFonts w:ascii="Arial" w:hAnsi="Arial"/>
        </w:rPr>
        <w:t xml:space="preserve"> State agencies</w:t>
      </w:r>
      <w:r w:rsidR="00881FBC">
        <w:rPr>
          <w:rFonts w:ascii="Arial" w:hAnsi="Arial"/>
        </w:rPr>
        <w:t xml:space="preserve"> </w:t>
      </w:r>
      <w:r w:rsidR="00881FBC">
        <w:rPr>
          <w:rFonts w:ascii="Arial" w:hAnsi="Arial"/>
        </w:rPr>
        <w:lastRenderedPageBreak/>
        <w:t>and universities</w:t>
      </w:r>
      <w:r>
        <w:rPr>
          <w:rFonts w:ascii="Arial" w:hAnsi="Arial"/>
        </w:rPr>
        <w:t xml:space="preserve"> must notify the Risk Management &amp; Tort Defense Division of a claim or potential claim as soon as possible, preferably within 24 hours, but not less than 5 business days. Claims not reported within a reasonable period of time may be denied.  </w:t>
      </w:r>
      <w:r>
        <w:rPr>
          <w:rFonts w:ascii="Arial" w:hAnsi="Arial"/>
          <w:color w:val="000000"/>
        </w:rPr>
        <w:t xml:space="preserve"> </w:t>
      </w:r>
    </w:p>
    <w:p w14:paraId="2648CB67" w14:textId="77777777" w:rsidR="005D0467" w:rsidRDefault="005D0467">
      <w:pPr>
        <w:ind w:left="720"/>
        <w:jc w:val="both"/>
        <w:rPr>
          <w:rFonts w:ascii="Arial" w:hAnsi="Arial"/>
          <w:color w:val="000000"/>
        </w:rPr>
      </w:pPr>
      <w:r>
        <w:rPr>
          <w:rFonts w:ascii="Arial" w:hAnsi="Arial"/>
          <w:color w:val="000000"/>
        </w:rPr>
        <w:t xml:space="preserve">Sample forms may be found on the division’s website under ‘Claims.’ You may photocopy them (front and back) as needed. </w:t>
      </w:r>
    </w:p>
    <w:p w14:paraId="51B000D7" w14:textId="77777777" w:rsidR="00101C4E" w:rsidRDefault="00101C4E" w:rsidP="00101C4E">
      <w:pPr>
        <w:pStyle w:val="Heading7"/>
        <w:numPr>
          <w:ilvl w:val="0"/>
          <w:numId w:val="0"/>
        </w:numPr>
        <w:spacing w:before="0"/>
        <w:ind w:left="1440"/>
      </w:pPr>
      <w:bookmarkStart w:id="9" w:name="IX"/>
    </w:p>
    <w:p w14:paraId="681D0A73" w14:textId="77777777" w:rsidR="005D0467" w:rsidRDefault="005D0467" w:rsidP="00101C4E">
      <w:pPr>
        <w:pStyle w:val="Heading7"/>
        <w:numPr>
          <w:ilvl w:val="0"/>
          <w:numId w:val="11"/>
        </w:numPr>
        <w:spacing w:before="0"/>
      </w:pPr>
      <w:r>
        <w:t>LIMITS</w:t>
      </w:r>
    </w:p>
    <w:bookmarkEnd w:id="9"/>
    <w:p w14:paraId="3D26CF85" w14:textId="77777777" w:rsidR="00101C4E" w:rsidRDefault="00101C4E" w:rsidP="00101C4E">
      <w:pPr>
        <w:spacing w:before="0"/>
        <w:ind w:left="2160" w:hanging="1440"/>
        <w:rPr>
          <w:rFonts w:ascii="Arial" w:hAnsi="Arial"/>
        </w:rPr>
      </w:pPr>
    </w:p>
    <w:p w14:paraId="14F3F0D1" w14:textId="472A72ED" w:rsidR="005D0467" w:rsidRDefault="00467613" w:rsidP="00101C4E">
      <w:pPr>
        <w:spacing w:before="0"/>
        <w:ind w:left="2160" w:hanging="1440"/>
        <w:rPr>
          <w:rFonts w:ascii="Arial" w:hAnsi="Arial"/>
        </w:rPr>
      </w:pPr>
      <w:r>
        <w:rPr>
          <w:rFonts w:ascii="Arial" w:hAnsi="Arial"/>
        </w:rPr>
        <w:t>$</w:t>
      </w:r>
      <w:r w:rsidR="006D311B">
        <w:rPr>
          <w:rFonts w:ascii="Arial" w:hAnsi="Arial"/>
        </w:rPr>
        <w:t>10</w:t>
      </w:r>
      <w:r>
        <w:rPr>
          <w:rFonts w:ascii="Arial" w:hAnsi="Arial"/>
        </w:rPr>
        <w:t>,</w:t>
      </w:r>
      <w:r w:rsidR="005E606A">
        <w:rPr>
          <w:rFonts w:ascii="Arial" w:hAnsi="Arial"/>
        </w:rPr>
        <w:t>0</w:t>
      </w:r>
      <w:r w:rsidR="005D0467">
        <w:rPr>
          <w:rFonts w:ascii="Arial" w:hAnsi="Arial"/>
        </w:rPr>
        <w:t>00,000 Public Employee Dishonesty</w:t>
      </w:r>
      <w:r w:rsidR="004D1834">
        <w:rPr>
          <w:rFonts w:ascii="Arial" w:hAnsi="Arial"/>
        </w:rPr>
        <w:t xml:space="preserve">. </w:t>
      </w:r>
      <w:r w:rsidR="005D0467">
        <w:rPr>
          <w:rFonts w:ascii="Arial" w:hAnsi="Arial"/>
        </w:rPr>
        <w:t xml:space="preserve"> </w:t>
      </w:r>
    </w:p>
    <w:p w14:paraId="6D6A510C" w14:textId="136A3AA1" w:rsidR="005D0467" w:rsidRDefault="00467613" w:rsidP="00101C4E">
      <w:pPr>
        <w:spacing w:before="0"/>
        <w:ind w:firstLine="720"/>
        <w:rPr>
          <w:rFonts w:ascii="Arial" w:hAnsi="Arial"/>
        </w:rPr>
      </w:pPr>
      <w:r>
        <w:rPr>
          <w:rFonts w:ascii="Arial" w:hAnsi="Arial"/>
        </w:rPr>
        <w:t>$</w:t>
      </w:r>
      <w:r w:rsidR="006D311B">
        <w:rPr>
          <w:rFonts w:ascii="Arial" w:hAnsi="Arial"/>
        </w:rPr>
        <w:t>10</w:t>
      </w:r>
      <w:r>
        <w:rPr>
          <w:rFonts w:ascii="Arial" w:hAnsi="Arial"/>
        </w:rPr>
        <w:t>,</w:t>
      </w:r>
      <w:r w:rsidR="005E606A">
        <w:rPr>
          <w:rFonts w:ascii="Arial" w:hAnsi="Arial"/>
        </w:rPr>
        <w:t>0</w:t>
      </w:r>
      <w:r w:rsidR="005D0467">
        <w:rPr>
          <w:rFonts w:ascii="Arial" w:hAnsi="Arial"/>
        </w:rPr>
        <w:t>00,000 Forgery or Alteration;</w:t>
      </w:r>
    </w:p>
    <w:p w14:paraId="22B4325F" w14:textId="24104F38" w:rsidR="005D0467" w:rsidRDefault="00467613" w:rsidP="00101C4E">
      <w:pPr>
        <w:spacing w:before="0"/>
        <w:ind w:firstLine="720"/>
        <w:rPr>
          <w:rFonts w:ascii="Arial" w:hAnsi="Arial"/>
        </w:rPr>
      </w:pPr>
      <w:r>
        <w:rPr>
          <w:rFonts w:ascii="Arial" w:hAnsi="Arial"/>
        </w:rPr>
        <w:t>$</w:t>
      </w:r>
      <w:r w:rsidR="006D311B">
        <w:rPr>
          <w:rFonts w:ascii="Arial" w:hAnsi="Arial"/>
        </w:rPr>
        <w:t>10</w:t>
      </w:r>
      <w:r>
        <w:rPr>
          <w:rFonts w:ascii="Arial" w:hAnsi="Arial"/>
        </w:rPr>
        <w:t>,</w:t>
      </w:r>
      <w:r w:rsidR="005E606A">
        <w:rPr>
          <w:rFonts w:ascii="Arial" w:hAnsi="Arial"/>
        </w:rPr>
        <w:t>0</w:t>
      </w:r>
      <w:r w:rsidR="005D0467">
        <w:rPr>
          <w:rFonts w:ascii="Arial" w:hAnsi="Arial"/>
        </w:rPr>
        <w:t>00,000 Theft,</w:t>
      </w:r>
      <w:r w:rsidR="005B1B50">
        <w:rPr>
          <w:rFonts w:ascii="Arial" w:hAnsi="Arial"/>
        </w:rPr>
        <w:t xml:space="preserve"> Disappearance, and Destruction;</w:t>
      </w:r>
    </w:p>
    <w:p w14:paraId="75FD2779" w14:textId="23D6F2C2" w:rsidR="005D0467" w:rsidRDefault="00467613" w:rsidP="00101C4E">
      <w:pPr>
        <w:spacing w:before="0"/>
        <w:ind w:firstLine="720"/>
        <w:rPr>
          <w:rFonts w:ascii="Arial" w:hAnsi="Arial"/>
        </w:rPr>
      </w:pPr>
      <w:r>
        <w:rPr>
          <w:rFonts w:ascii="Arial" w:hAnsi="Arial"/>
        </w:rPr>
        <w:t>$</w:t>
      </w:r>
      <w:r w:rsidR="006D311B">
        <w:rPr>
          <w:rFonts w:ascii="Arial" w:hAnsi="Arial"/>
        </w:rPr>
        <w:t>10</w:t>
      </w:r>
      <w:r>
        <w:rPr>
          <w:rFonts w:ascii="Arial" w:hAnsi="Arial"/>
        </w:rPr>
        <w:t>,</w:t>
      </w:r>
      <w:r w:rsidR="005E606A">
        <w:rPr>
          <w:rFonts w:ascii="Arial" w:hAnsi="Arial"/>
        </w:rPr>
        <w:t>0</w:t>
      </w:r>
      <w:r w:rsidR="005D0467">
        <w:rPr>
          <w:rFonts w:ascii="Arial" w:hAnsi="Arial"/>
        </w:rPr>
        <w:t>00,000 Computer Fraud.</w:t>
      </w:r>
    </w:p>
    <w:p w14:paraId="340331FD" w14:textId="77777777" w:rsidR="00101C4E" w:rsidRDefault="00101C4E" w:rsidP="00101C4E">
      <w:pPr>
        <w:pStyle w:val="Heading7"/>
        <w:numPr>
          <w:ilvl w:val="0"/>
          <w:numId w:val="0"/>
        </w:numPr>
        <w:spacing w:before="0"/>
        <w:ind w:left="1440"/>
      </w:pPr>
      <w:bookmarkStart w:id="10" w:name="X"/>
    </w:p>
    <w:p w14:paraId="79A189C7" w14:textId="77777777" w:rsidR="005D0467" w:rsidRDefault="005D0467" w:rsidP="00101C4E">
      <w:pPr>
        <w:pStyle w:val="Heading7"/>
        <w:numPr>
          <w:ilvl w:val="0"/>
          <w:numId w:val="11"/>
        </w:numPr>
        <w:spacing w:before="0"/>
      </w:pPr>
      <w:r>
        <w:t>DEDUCTIBLES</w:t>
      </w:r>
    </w:p>
    <w:bookmarkEnd w:id="10"/>
    <w:p w14:paraId="452F9373" w14:textId="77777777" w:rsidR="00101C4E" w:rsidRDefault="00101C4E" w:rsidP="00101C4E">
      <w:pPr>
        <w:spacing w:before="0"/>
        <w:ind w:left="720"/>
        <w:rPr>
          <w:rFonts w:ascii="Arial" w:hAnsi="Arial"/>
        </w:rPr>
      </w:pPr>
    </w:p>
    <w:p w14:paraId="4D387BDE" w14:textId="77777777" w:rsidR="005D0467" w:rsidRDefault="005D0467" w:rsidP="00101C4E">
      <w:pPr>
        <w:spacing w:before="0"/>
        <w:ind w:left="720"/>
        <w:rPr>
          <w:rFonts w:ascii="Arial" w:hAnsi="Arial"/>
        </w:rPr>
      </w:pPr>
      <w:r>
        <w:rPr>
          <w:rFonts w:ascii="Arial" w:hAnsi="Arial"/>
        </w:rPr>
        <w:t xml:space="preserve">$500,000 </w:t>
      </w:r>
    </w:p>
    <w:p w14:paraId="0AF4CC5E" w14:textId="77777777" w:rsidR="00101C4E" w:rsidRDefault="00101C4E" w:rsidP="00101C4E">
      <w:pPr>
        <w:pStyle w:val="Heading7"/>
        <w:numPr>
          <w:ilvl w:val="0"/>
          <w:numId w:val="0"/>
        </w:numPr>
        <w:spacing w:before="0"/>
        <w:ind w:left="1440"/>
      </w:pPr>
      <w:bookmarkStart w:id="11" w:name="XI"/>
    </w:p>
    <w:p w14:paraId="6C50E805" w14:textId="77777777" w:rsidR="005D0467" w:rsidRDefault="005D0467" w:rsidP="00101C4E">
      <w:pPr>
        <w:pStyle w:val="Heading7"/>
        <w:numPr>
          <w:ilvl w:val="0"/>
          <w:numId w:val="11"/>
        </w:numPr>
        <w:spacing w:before="0"/>
      </w:pPr>
      <w:r>
        <w:t>PREMIUMS</w:t>
      </w:r>
    </w:p>
    <w:bookmarkEnd w:id="11"/>
    <w:p w14:paraId="76E1F8A8" w14:textId="77777777" w:rsidR="004C7716" w:rsidRDefault="004C7716" w:rsidP="00101C4E">
      <w:pPr>
        <w:spacing w:before="0"/>
        <w:ind w:left="720"/>
        <w:rPr>
          <w:rFonts w:ascii="Arial" w:hAnsi="Arial"/>
          <w:color w:val="000000"/>
        </w:rPr>
      </w:pPr>
    </w:p>
    <w:p w14:paraId="560D3426" w14:textId="3C960888" w:rsidR="005D0467" w:rsidRDefault="005D0467" w:rsidP="00101C4E">
      <w:pPr>
        <w:spacing w:before="0"/>
        <w:ind w:left="720"/>
        <w:rPr>
          <w:rFonts w:ascii="Arial" w:hAnsi="Arial"/>
          <w:color w:val="000000"/>
        </w:rPr>
      </w:pPr>
      <w:r>
        <w:rPr>
          <w:rFonts w:ascii="Arial" w:hAnsi="Arial"/>
          <w:color w:val="000000"/>
        </w:rPr>
        <w:t>Premiums must be promptly remitted by state agencies</w:t>
      </w:r>
      <w:r w:rsidR="00881FBC">
        <w:rPr>
          <w:rFonts w:ascii="Arial" w:hAnsi="Arial"/>
          <w:color w:val="000000"/>
        </w:rPr>
        <w:t xml:space="preserve"> and universities</w:t>
      </w:r>
      <w:r>
        <w:rPr>
          <w:rFonts w:ascii="Arial" w:hAnsi="Arial"/>
          <w:color w:val="000000"/>
        </w:rPr>
        <w:t xml:space="preserve"> after receiving billing notices from the Risk Management &amp; Tort Defense Division.</w:t>
      </w:r>
    </w:p>
    <w:p w14:paraId="53967E07" w14:textId="77777777" w:rsidR="005D0467" w:rsidRDefault="005D0467" w:rsidP="00101C4E">
      <w:pPr>
        <w:spacing w:before="0"/>
        <w:rPr>
          <w:rStyle w:val="HTMLMarkup"/>
          <w:rFonts w:ascii="Arial" w:hAnsi="Arial"/>
          <w:b/>
          <w:vanish w:val="0"/>
          <w:color w:val="000000"/>
        </w:rPr>
      </w:pPr>
    </w:p>
    <w:p w14:paraId="4F6DC5C8" w14:textId="77777777" w:rsidR="005D0467" w:rsidRDefault="005D0467" w:rsidP="00101C4E">
      <w:pPr>
        <w:spacing w:before="0"/>
        <w:ind w:left="720"/>
        <w:rPr>
          <w:rFonts w:ascii="Arial" w:hAnsi="Arial"/>
          <w:color w:val="000000"/>
        </w:rPr>
      </w:pPr>
    </w:p>
    <w:sectPr w:rsidR="005D0467">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6E478" w14:textId="77777777" w:rsidR="00DE6CFF" w:rsidRDefault="00DE6CFF">
      <w:r>
        <w:separator/>
      </w:r>
    </w:p>
  </w:endnote>
  <w:endnote w:type="continuationSeparator" w:id="0">
    <w:p w14:paraId="10928D3F" w14:textId="77777777" w:rsidR="00DE6CFF" w:rsidRDefault="00DE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4A1EE" w14:textId="77777777" w:rsidR="00F613A7" w:rsidRDefault="00F613A7">
    <w:pPr>
      <w:pStyle w:val="Footer"/>
    </w:pPr>
    <w:r>
      <w:tab/>
      <w:t xml:space="preserve">- </w:t>
    </w:r>
    <w:r>
      <w:fldChar w:fldCharType="begin"/>
    </w:r>
    <w:r>
      <w:instrText xml:space="preserve"> PAGE </w:instrText>
    </w:r>
    <w:r>
      <w:fldChar w:fldCharType="separate"/>
    </w:r>
    <w:r w:rsidR="0001510B">
      <w:rPr>
        <w:noProof/>
      </w:rPr>
      <w:t>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2147A" w14:textId="77777777" w:rsidR="00DE6CFF" w:rsidRDefault="00DE6CFF">
      <w:r>
        <w:separator/>
      </w:r>
    </w:p>
  </w:footnote>
  <w:footnote w:type="continuationSeparator" w:id="0">
    <w:p w14:paraId="4896EED7" w14:textId="77777777" w:rsidR="00DE6CFF" w:rsidRDefault="00DE6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67E6712C"/>
    <w:lvl w:ilvl="0">
      <w:start w:val="1"/>
      <w:numFmt w:val="decimal"/>
      <w:lvlText w:val="%1."/>
      <w:lvlJc w:val="left"/>
      <w:pPr>
        <w:ind w:left="720" w:hanging="360"/>
      </w:pPr>
    </w:lvl>
    <w:lvl w:ilvl="1">
      <w:start w:val="1"/>
      <w:numFmt w:val="upperRoman"/>
      <w:pStyle w:val="Heading1"/>
      <w:lvlText w:val="%2."/>
      <w:lvlJc w:val="left"/>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5A52F41"/>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0BFD27DA"/>
    <w:multiLevelType w:val="multilevel"/>
    <w:tmpl w:val="17B4B832"/>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DE420AC"/>
    <w:multiLevelType w:val="singleLevel"/>
    <w:tmpl w:val="3C3AFB02"/>
    <w:lvl w:ilvl="0">
      <w:start w:val="1"/>
      <w:numFmt w:val="upperLetter"/>
      <w:lvlText w:val="%1."/>
      <w:lvlJc w:val="left"/>
      <w:pPr>
        <w:tabs>
          <w:tab w:val="num" w:pos="1080"/>
        </w:tabs>
        <w:ind w:left="1080" w:hanging="360"/>
      </w:pPr>
      <w:rPr>
        <w:b w:val="0"/>
        <w:i w:val="0"/>
      </w:rPr>
    </w:lvl>
  </w:abstractNum>
  <w:abstractNum w:abstractNumId="4" w15:restartNumberingAfterBreak="0">
    <w:nsid w:val="23E00B27"/>
    <w:multiLevelType w:val="singleLevel"/>
    <w:tmpl w:val="04090015"/>
    <w:lvl w:ilvl="0">
      <w:start w:val="1"/>
      <w:numFmt w:val="upperLetter"/>
      <w:lvlText w:val="%1."/>
      <w:lvlJc w:val="left"/>
      <w:pPr>
        <w:tabs>
          <w:tab w:val="num" w:pos="360"/>
        </w:tabs>
        <w:ind w:left="360" w:hanging="360"/>
      </w:pPr>
    </w:lvl>
  </w:abstractNum>
  <w:abstractNum w:abstractNumId="5" w15:restartNumberingAfterBreak="0">
    <w:nsid w:val="2D6668B1"/>
    <w:multiLevelType w:val="singleLevel"/>
    <w:tmpl w:val="206AD378"/>
    <w:lvl w:ilvl="0">
      <w:start w:val="1"/>
      <w:numFmt w:val="upperRoman"/>
      <w:lvlText w:val="%1."/>
      <w:lvlJc w:val="left"/>
      <w:pPr>
        <w:tabs>
          <w:tab w:val="num" w:pos="1440"/>
        </w:tabs>
        <w:ind w:left="1440" w:hanging="720"/>
      </w:pPr>
      <w:rPr>
        <w:rFonts w:hint="default"/>
      </w:rPr>
    </w:lvl>
  </w:abstractNum>
  <w:abstractNum w:abstractNumId="6" w15:restartNumberingAfterBreak="0">
    <w:nsid w:val="2E91396C"/>
    <w:multiLevelType w:val="hybridMultilevel"/>
    <w:tmpl w:val="10388B90"/>
    <w:lvl w:ilvl="0" w:tplc="7F8A39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E543EF"/>
    <w:multiLevelType w:val="singleLevel"/>
    <w:tmpl w:val="C04E1CC4"/>
    <w:lvl w:ilvl="0">
      <w:start w:val="9"/>
      <w:numFmt w:val="upperRoman"/>
      <w:pStyle w:val="Heading4"/>
      <w:lvlText w:val="%1."/>
      <w:lvlJc w:val="left"/>
      <w:pPr>
        <w:tabs>
          <w:tab w:val="num" w:pos="1800"/>
        </w:tabs>
        <w:ind w:left="1800" w:hanging="720"/>
      </w:pPr>
      <w:rPr>
        <w:rFonts w:hint="default"/>
        <w:u w:val="none"/>
      </w:rPr>
    </w:lvl>
  </w:abstractNum>
  <w:abstractNum w:abstractNumId="8" w15:restartNumberingAfterBreak="0">
    <w:nsid w:val="3A312EF7"/>
    <w:multiLevelType w:val="singleLevel"/>
    <w:tmpl w:val="01CC6262"/>
    <w:lvl w:ilvl="0">
      <w:start w:val="1"/>
      <w:numFmt w:val="upperLetter"/>
      <w:lvlText w:val="%1."/>
      <w:lvlJc w:val="left"/>
      <w:pPr>
        <w:tabs>
          <w:tab w:val="num" w:pos="1125"/>
        </w:tabs>
        <w:ind w:left="1125" w:hanging="405"/>
      </w:pPr>
      <w:rPr>
        <w:rFonts w:hint="default"/>
      </w:rPr>
    </w:lvl>
  </w:abstractNum>
  <w:abstractNum w:abstractNumId="9" w15:restartNumberingAfterBreak="0">
    <w:nsid w:val="3FFD066D"/>
    <w:multiLevelType w:val="hybridMultilevel"/>
    <w:tmpl w:val="1A9A06B8"/>
    <w:lvl w:ilvl="0" w:tplc="D8724D1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12D28B3"/>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453953F7"/>
    <w:multiLevelType w:val="hybridMultilevel"/>
    <w:tmpl w:val="C422E61A"/>
    <w:lvl w:ilvl="0" w:tplc="265CF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F34944"/>
    <w:multiLevelType w:val="singleLevel"/>
    <w:tmpl w:val="00F067F8"/>
    <w:lvl w:ilvl="0">
      <w:start w:val="9"/>
      <w:numFmt w:val="upperRoman"/>
      <w:lvlText w:val="%1."/>
      <w:lvlJc w:val="left"/>
      <w:pPr>
        <w:tabs>
          <w:tab w:val="num" w:pos="1440"/>
        </w:tabs>
        <w:ind w:left="1440" w:hanging="720"/>
      </w:pPr>
      <w:rPr>
        <w:rFonts w:hint="default"/>
      </w:rPr>
    </w:lvl>
  </w:abstractNum>
  <w:abstractNum w:abstractNumId="13" w15:restartNumberingAfterBreak="0">
    <w:nsid w:val="522F1B64"/>
    <w:multiLevelType w:val="singleLevel"/>
    <w:tmpl w:val="ECD2D534"/>
    <w:lvl w:ilvl="0">
      <w:start w:val="14"/>
      <w:numFmt w:val="upperRoman"/>
      <w:pStyle w:val="Heading7"/>
      <w:lvlText w:val="%1."/>
      <w:lvlJc w:val="left"/>
      <w:pPr>
        <w:tabs>
          <w:tab w:val="num" w:pos="1440"/>
        </w:tabs>
        <w:ind w:left="1440" w:hanging="720"/>
      </w:pPr>
      <w:rPr>
        <w:rFonts w:hint="default"/>
      </w:rPr>
    </w:lvl>
  </w:abstractNum>
  <w:abstractNum w:abstractNumId="14" w15:restartNumberingAfterBreak="0">
    <w:nsid w:val="6760137C"/>
    <w:multiLevelType w:val="multilevel"/>
    <w:tmpl w:val="45AE765A"/>
    <w:lvl w:ilvl="0">
      <w:start w:val="1"/>
      <w:numFmt w:val="upperLetter"/>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771A6463"/>
    <w:multiLevelType w:val="singleLevel"/>
    <w:tmpl w:val="0ADE4C68"/>
    <w:lvl w:ilvl="0">
      <w:start w:val="6"/>
      <w:numFmt w:val="upperRoman"/>
      <w:lvlText w:val="%1."/>
      <w:lvlJc w:val="left"/>
      <w:pPr>
        <w:tabs>
          <w:tab w:val="num" w:pos="1440"/>
        </w:tabs>
        <w:ind w:left="1440" w:hanging="720"/>
      </w:pPr>
      <w:rPr>
        <w:rFonts w:hint="default"/>
      </w:rPr>
    </w:lvl>
  </w:abstractNum>
  <w:num w:numId="1">
    <w:abstractNumId w:val="0"/>
  </w:num>
  <w:num w:numId="2">
    <w:abstractNumId w:val="8"/>
  </w:num>
  <w:num w:numId="3">
    <w:abstractNumId w:val="7"/>
  </w:num>
  <w:num w:numId="4">
    <w:abstractNumId w:val="13"/>
  </w:num>
  <w:num w:numId="5">
    <w:abstractNumId w:val="3"/>
  </w:num>
  <w:num w:numId="6">
    <w:abstractNumId w:val="10"/>
  </w:num>
  <w:num w:numId="7">
    <w:abstractNumId w:val="4"/>
  </w:num>
  <w:num w:numId="8">
    <w:abstractNumId w:val="1"/>
  </w:num>
  <w:num w:numId="9">
    <w:abstractNumId w:val="5"/>
  </w:num>
  <w:num w:numId="10">
    <w:abstractNumId w:val="15"/>
  </w:num>
  <w:num w:numId="11">
    <w:abstractNumId w:val="12"/>
  </w:num>
  <w:num w:numId="12">
    <w:abstractNumId w:val="6"/>
  </w:num>
  <w:num w:numId="13">
    <w:abstractNumId w:val="9"/>
  </w:num>
  <w:num w:numId="14">
    <w:abstractNumId w:val="11"/>
  </w:num>
  <w:num w:numId="15">
    <w:abstractNumId w:val="2"/>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21"/>
    <w:rsid w:val="0001510B"/>
    <w:rsid w:val="00022285"/>
    <w:rsid w:val="000A4E9E"/>
    <w:rsid w:val="000A7176"/>
    <w:rsid w:val="00101C4E"/>
    <w:rsid w:val="001046A2"/>
    <w:rsid w:val="0016434B"/>
    <w:rsid w:val="00165B74"/>
    <w:rsid w:val="001A7BF4"/>
    <w:rsid w:val="00232B31"/>
    <w:rsid w:val="00234AD4"/>
    <w:rsid w:val="002458B0"/>
    <w:rsid w:val="002837FA"/>
    <w:rsid w:val="00291AC0"/>
    <w:rsid w:val="002D23A6"/>
    <w:rsid w:val="002E4857"/>
    <w:rsid w:val="002F0040"/>
    <w:rsid w:val="00305DFB"/>
    <w:rsid w:val="00360053"/>
    <w:rsid w:val="00367849"/>
    <w:rsid w:val="00395848"/>
    <w:rsid w:val="003D3B3C"/>
    <w:rsid w:val="0043040F"/>
    <w:rsid w:val="00441CA4"/>
    <w:rsid w:val="00460D21"/>
    <w:rsid w:val="00465CD1"/>
    <w:rsid w:val="00467613"/>
    <w:rsid w:val="004C7716"/>
    <w:rsid w:val="004D1834"/>
    <w:rsid w:val="0050510B"/>
    <w:rsid w:val="005A6400"/>
    <w:rsid w:val="005B1B50"/>
    <w:rsid w:val="005D0467"/>
    <w:rsid w:val="005E2C83"/>
    <w:rsid w:val="005E606A"/>
    <w:rsid w:val="006326AD"/>
    <w:rsid w:val="00696077"/>
    <w:rsid w:val="006D311B"/>
    <w:rsid w:val="007235B1"/>
    <w:rsid w:val="00770B8D"/>
    <w:rsid w:val="007B145D"/>
    <w:rsid w:val="00814DF9"/>
    <w:rsid w:val="00842D9C"/>
    <w:rsid w:val="0085795E"/>
    <w:rsid w:val="00881FBC"/>
    <w:rsid w:val="0089041F"/>
    <w:rsid w:val="00A464A1"/>
    <w:rsid w:val="00A95D0A"/>
    <w:rsid w:val="00AA4521"/>
    <w:rsid w:val="00AD2C9C"/>
    <w:rsid w:val="00AF17CC"/>
    <w:rsid w:val="00B919D6"/>
    <w:rsid w:val="00BB08CD"/>
    <w:rsid w:val="00BB6E3B"/>
    <w:rsid w:val="00BF4FDE"/>
    <w:rsid w:val="00C1464F"/>
    <w:rsid w:val="00C744C0"/>
    <w:rsid w:val="00CF4EB8"/>
    <w:rsid w:val="00D51BE1"/>
    <w:rsid w:val="00D75259"/>
    <w:rsid w:val="00DA736F"/>
    <w:rsid w:val="00DC1461"/>
    <w:rsid w:val="00DE6CFF"/>
    <w:rsid w:val="00DF7138"/>
    <w:rsid w:val="00E2299E"/>
    <w:rsid w:val="00E719F9"/>
    <w:rsid w:val="00EE181D"/>
    <w:rsid w:val="00EF7CD9"/>
    <w:rsid w:val="00F2506B"/>
    <w:rsid w:val="00F613A7"/>
    <w:rsid w:val="00F7348F"/>
    <w:rsid w:val="00FD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787F191"/>
  <w15:chartTrackingRefBased/>
  <w15:docId w15:val="{F26CCE9B-CB14-4733-A4A9-FA526072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numPr>
        <w:ilvl w:val="1"/>
        <w:numId w:val="1"/>
      </w:numPr>
      <w:spacing w:before="0" w:after="0"/>
      <w:outlineLvl w:val="0"/>
    </w:pPr>
    <w:rPr>
      <w:rFonts w:ascii="Arial" w:hAnsi="Arial"/>
      <w:color w:val="000000"/>
      <w:u w:val="single"/>
    </w:rPr>
  </w:style>
  <w:style w:type="paragraph" w:styleId="Heading2">
    <w:name w:val="heading 2"/>
    <w:basedOn w:val="Normal"/>
    <w:next w:val="Normal"/>
    <w:qFormat/>
    <w:pPr>
      <w:keepNext/>
      <w:ind w:left="720"/>
      <w:outlineLvl w:val="1"/>
    </w:pPr>
    <w:rPr>
      <w:rFonts w:ascii="Arial" w:hAnsi="Arial"/>
      <w:b/>
      <w:sz w:val="28"/>
    </w:rPr>
  </w:style>
  <w:style w:type="paragraph" w:styleId="Heading3">
    <w:name w:val="heading 3"/>
    <w:basedOn w:val="Normal"/>
    <w:next w:val="Normal"/>
    <w:qFormat/>
    <w:pPr>
      <w:keepNext/>
      <w:ind w:left="1080" w:hanging="360"/>
      <w:jc w:val="both"/>
      <w:outlineLvl w:val="2"/>
    </w:pPr>
    <w:rPr>
      <w:b/>
      <w:sz w:val="28"/>
    </w:rPr>
  </w:style>
  <w:style w:type="paragraph" w:styleId="Heading4">
    <w:name w:val="heading 4"/>
    <w:basedOn w:val="Normal"/>
    <w:next w:val="Normal"/>
    <w:qFormat/>
    <w:pPr>
      <w:keepNext/>
      <w:numPr>
        <w:numId w:val="3"/>
      </w:numPr>
      <w:spacing w:before="0" w:after="0"/>
      <w:outlineLvl w:val="3"/>
    </w:pPr>
    <w:rPr>
      <w:rFonts w:ascii="Arial" w:hAnsi="Arial"/>
      <w:color w:val="000000"/>
      <w:u w:val="single"/>
    </w:rPr>
  </w:style>
  <w:style w:type="paragraph" w:styleId="Heading5">
    <w:name w:val="heading 5"/>
    <w:basedOn w:val="Normal"/>
    <w:next w:val="Normal"/>
    <w:qFormat/>
    <w:pPr>
      <w:keepNext/>
      <w:ind w:left="720"/>
      <w:outlineLvl w:val="4"/>
    </w:pPr>
    <w:rPr>
      <w:rFonts w:ascii="Arial" w:hAnsi="Arial"/>
      <w:b/>
      <w:color w:val="000000"/>
      <w:sz w:val="28"/>
    </w:rPr>
  </w:style>
  <w:style w:type="paragraph" w:styleId="Heading6">
    <w:name w:val="heading 6"/>
    <w:basedOn w:val="Normal"/>
    <w:next w:val="Normal"/>
    <w:qFormat/>
    <w:pPr>
      <w:keepNext/>
      <w:ind w:left="720"/>
      <w:outlineLvl w:val="5"/>
    </w:pPr>
    <w:rPr>
      <w:rFonts w:ascii="Arial" w:hAnsi="Arial"/>
      <w:b/>
      <w:color w:val="000000"/>
    </w:rPr>
  </w:style>
  <w:style w:type="paragraph" w:styleId="Heading7">
    <w:name w:val="heading 7"/>
    <w:basedOn w:val="Normal"/>
    <w:next w:val="Normal"/>
    <w:qFormat/>
    <w:pPr>
      <w:keepNext/>
      <w:numPr>
        <w:numId w:val="4"/>
      </w:numPr>
      <w:outlineLvl w:val="6"/>
    </w:pPr>
    <w:rPr>
      <w:rFonts w:ascii="Arial" w:hAnsi="Arial"/>
      <w:b/>
      <w:color w:val="000000"/>
      <w:sz w:val="28"/>
    </w:rPr>
  </w:style>
  <w:style w:type="paragraph" w:styleId="Heading8">
    <w:name w:val="heading 8"/>
    <w:basedOn w:val="Normal"/>
    <w:next w:val="Normal"/>
    <w:qFormat/>
    <w:pPr>
      <w:keepNext/>
      <w:spacing w:line="240" w:lineRule="atLeast"/>
      <w:ind w:left="1440" w:hanging="720"/>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widowControl/>
      <w:tabs>
        <w:tab w:val="center" w:pos="4320"/>
        <w:tab w:val="right" w:pos="8640"/>
      </w:tabs>
      <w:spacing w:before="0" w:after="0"/>
    </w:pPr>
    <w:rPr>
      <w:snapToGrid/>
    </w:rPr>
  </w:style>
  <w:style w:type="paragraph" w:styleId="BodyTextIndent">
    <w:name w:val="Body Text Indent"/>
    <w:basedOn w:val="Normal"/>
    <w:pPr>
      <w:ind w:left="1080"/>
      <w:jc w:val="both"/>
    </w:pPr>
    <w:rPr>
      <w:rFonts w:ascii="Arial" w:hAnsi="Arial"/>
    </w:rPr>
  </w:style>
  <w:style w:type="paragraph" w:styleId="BodyTextIndent2">
    <w:name w:val="Body Text Indent 2"/>
    <w:basedOn w:val="Normal"/>
    <w:pPr>
      <w:tabs>
        <w:tab w:val="left" w:pos="-1440"/>
      </w:tabs>
      <w:ind w:left="1440" w:hanging="720"/>
      <w:jc w:val="both"/>
    </w:pPr>
    <w:rPr>
      <w:rFonts w:ascii="Arial" w:hAnsi="Arial"/>
    </w:rPr>
  </w:style>
  <w:style w:type="paragraph" w:styleId="BodyTextIndent3">
    <w:name w:val="Body Text Indent 3"/>
    <w:basedOn w:val="Normal"/>
    <w:pPr>
      <w:tabs>
        <w:tab w:val="left" w:pos="-1440"/>
      </w:tabs>
      <w:ind w:left="1440"/>
      <w:jc w:val="both"/>
    </w:pPr>
    <w:rPr>
      <w:rFonts w:ascii="Arial" w:hAnsi="Arial"/>
    </w:r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F613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1314</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Policy - Liability purpose</vt:lpstr>
    </vt:vector>
  </TitlesOfParts>
  <Company>State of Montana</Company>
  <LinksUpToDate>false</LinksUpToDate>
  <CharactersWithSpaces>9042</CharactersWithSpaces>
  <SharedDoc>false</SharedDoc>
  <HLinks>
    <vt:vector size="66" baseType="variant">
      <vt:variant>
        <vt:i4>6881400</vt:i4>
      </vt:variant>
      <vt:variant>
        <vt:i4>30</vt:i4>
      </vt:variant>
      <vt:variant>
        <vt:i4>0</vt:i4>
      </vt:variant>
      <vt:variant>
        <vt:i4>5</vt:i4>
      </vt:variant>
      <vt:variant>
        <vt:lpwstr/>
      </vt:variant>
      <vt:variant>
        <vt:lpwstr>XI</vt:lpwstr>
      </vt:variant>
      <vt:variant>
        <vt:i4>120</vt:i4>
      </vt:variant>
      <vt:variant>
        <vt:i4>27</vt:i4>
      </vt:variant>
      <vt:variant>
        <vt:i4>0</vt:i4>
      </vt:variant>
      <vt:variant>
        <vt:i4>5</vt:i4>
      </vt:variant>
      <vt:variant>
        <vt:lpwstr/>
      </vt:variant>
      <vt:variant>
        <vt:lpwstr>X</vt:lpwstr>
      </vt:variant>
      <vt:variant>
        <vt:i4>6291578</vt:i4>
      </vt:variant>
      <vt:variant>
        <vt:i4>24</vt:i4>
      </vt:variant>
      <vt:variant>
        <vt:i4>0</vt:i4>
      </vt:variant>
      <vt:variant>
        <vt:i4>5</vt:i4>
      </vt:variant>
      <vt:variant>
        <vt:lpwstr>http://www.discoveringmontana.com/doa/rmtd/RestrictedIP/ins/IX</vt:lpwstr>
      </vt:variant>
      <vt:variant>
        <vt:lpwstr/>
      </vt:variant>
      <vt:variant>
        <vt:i4>31</vt:i4>
      </vt:variant>
      <vt:variant>
        <vt:i4>21</vt:i4>
      </vt:variant>
      <vt:variant>
        <vt:i4>0</vt:i4>
      </vt:variant>
      <vt:variant>
        <vt:i4>5</vt:i4>
      </vt:variant>
      <vt:variant>
        <vt:lpwstr/>
      </vt:variant>
      <vt:variant>
        <vt:lpwstr>VIII</vt:lpwstr>
      </vt:variant>
      <vt:variant>
        <vt:i4>6881398</vt:i4>
      </vt:variant>
      <vt:variant>
        <vt:i4>18</vt:i4>
      </vt:variant>
      <vt:variant>
        <vt:i4>0</vt:i4>
      </vt:variant>
      <vt:variant>
        <vt:i4>5</vt:i4>
      </vt:variant>
      <vt:variant>
        <vt:lpwstr/>
      </vt:variant>
      <vt:variant>
        <vt:lpwstr>VII</vt:lpwstr>
      </vt:variant>
      <vt:variant>
        <vt:i4>6881398</vt:i4>
      </vt:variant>
      <vt:variant>
        <vt:i4>15</vt:i4>
      </vt:variant>
      <vt:variant>
        <vt:i4>0</vt:i4>
      </vt:variant>
      <vt:variant>
        <vt:i4>5</vt:i4>
      </vt:variant>
      <vt:variant>
        <vt:lpwstr/>
      </vt:variant>
      <vt:variant>
        <vt:lpwstr>VI</vt:lpwstr>
      </vt:variant>
      <vt:variant>
        <vt:i4>118</vt:i4>
      </vt:variant>
      <vt:variant>
        <vt:i4>12</vt:i4>
      </vt:variant>
      <vt:variant>
        <vt:i4>0</vt:i4>
      </vt:variant>
      <vt:variant>
        <vt:i4>5</vt:i4>
      </vt:variant>
      <vt:variant>
        <vt:lpwstr/>
      </vt:variant>
      <vt:variant>
        <vt:lpwstr>V</vt:lpwstr>
      </vt:variant>
      <vt:variant>
        <vt:i4>7733353</vt:i4>
      </vt:variant>
      <vt:variant>
        <vt:i4>9</vt:i4>
      </vt:variant>
      <vt:variant>
        <vt:i4>0</vt:i4>
      </vt:variant>
      <vt:variant>
        <vt:i4>5</vt:i4>
      </vt:variant>
      <vt:variant>
        <vt:lpwstr/>
      </vt:variant>
      <vt:variant>
        <vt:lpwstr>IV</vt:lpwstr>
      </vt:variant>
      <vt:variant>
        <vt:i4>6881385</vt:i4>
      </vt:variant>
      <vt:variant>
        <vt:i4>6</vt:i4>
      </vt:variant>
      <vt:variant>
        <vt:i4>0</vt:i4>
      </vt:variant>
      <vt:variant>
        <vt:i4>5</vt:i4>
      </vt:variant>
      <vt:variant>
        <vt:lpwstr/>
      </vt:variant>
      <vt:variant>
        <vt:lpwstr>III</vt:lpwstr>
      </vt:variant>
      <vt:variant>
        <vt:i4>6881385</vt:i4>
      </vt:variant>
      <vt:variant>
        <vt:i4>3</vt:i4>
      </vt:variant>
      <vt:variant>
        <vt:i4>0</vt:i4>
      </vt:variant>
      <vt:variant>
        <vt:i4>5</vt:i4>
      </vt:variant>
      <vt:variant>
        <vt:lpwstr/>
      </vt:variant>
      <vt:variant>
        <vt:lpwstr>II</vt:lpwstr>
      </vt:variant>
      <vt:variant>
        <vt:i4>105</vt:i4>
      </vt:variant>
      <vt:variant>
        <vt:i4>0</vt:i4>
      </vt:variant>
      <vt:variant>
        <vt:i4>0</vt:i4>
      </vt:variant>
      <vt:variant>
        <vt:i4>5</vt:i4>
      </vt:variant>
      <vt:variant>
        <vt:lpwstr/>
      </vt:variant>
      <vt:variant>
        <vt:lpwstr>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Liability purpose</dc:title>
  <dc:subject/>
  <dc:creator>Dept. of Administration</dc:creator>
  <cp:keywords/>
  <cp:lastModifiedBy>Rhodes, Kristie</cp:lastModifiedBy>
  <cp:revision>4</cp:revision>
  <cp:lastPrinted>2012-08-13T17:33:00Z</cp:lastPrinted>
  <dcterms:created xsi:type="dcterms:W3CDTF">2020-09-21T20:55:00Z</dcterms:created>
  <dcterms:modified xsi:type="dcterms:W3CDTF">2020-10-13T15:37:00Z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Version">
    <vt:lpwstr>0.01</vt:lpwstr>
  </property>
  <property fmtid="{D5CDD505-2E9C-101B-9397-08002B2CF9AE}" pid="4" name="Last Author">
    <vt:lpwstr>Marsicano\, Jennifer</vt:lpwstr>
  </property>
  <property fmtid="{D5CDD505-2E9C-101B-9397-08002B2CF9AE}" pid="5" name="DocumentPath">
    <vt:lpwstr>DOA-RMTD\Site\insurance\files\crimeabstract07finalfinalfinal.doc</vt:lpwstr>
  </property>
  <property fmtid="{D5CDD505-2E9C-101B-9397-08002B2CF9AE}" pid="6" name="CreateDateTime">
    <vt:lpwstr>11/10/2006 17:08:00</vt:lpwstr>
  </property>
</Properties>
</file>